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eastAsiaTheme="majorEastAsia" w:hAnsi="Georgia" w:cstheme="majorBidi"/>
          <w:caps/>
          <w:lang w:val="hr-HR"/>
        </w:rPr>
        <w:id w:val="369254638"/>
        <w:docPartObj>
          <w:docPartGallery w:val="Cover Pages"/>
          <w:docPartUnique/>
        </w:docPartObj>
      </w:sdtPr>
      <w:sdtEndPr>
        <w:rPr>
          <w:rFonts w:eastAsiaTheme="minorHAnsi" w:cs="Calibri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324241">
            <w:trPr>
              <w:trHeight w:val="2880"/>
              <w:jc w:val="center"/>
            </w:trPr>
            <w:sdt>
              <w:sdtPr>
                <w:rPr>
                  <w:rFonts w:ascii="Georgia" w:eastAsiaTheme="majorEastAsia" w:hAnsi="Georgia" w:cstheme="majorBidi"/>
                  <w:caps/>
                  <w:lang w:val="hr-HR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5000" w:type="pct"/>
                  </w:tcPr>
                  <w:p w:rsidR="00324241" w:rsidRPr="00C0669A" w:rsidRDefault="00324241" w:rsidP="00324241">
                    <w:pPr>
                      <w:pStyle w:val="Bezproreda"/>
                      <w:jc w:val="center"/>
                      <w:rPr>
                        <w:rFonts w:ascii="Georgia" w:eastAsiaTheme="majorEastAsia" w:hAnsi="Georgia" w:cstheme="majorBidi"/>
                        <w:caps/>
                      </w:rPr>
                    </w:pPr>
                    <w:r w:rsidRPr="00C0669A">
                      <w:rPr>
                        <w:rFonts w:ascii="Georgia" w:eastAsiaTheme="majorEastAsia" w:hAnsi="Georgia" w:cstheme="majorBidi"/>
                        <w:caps/>
                      </w:rPr>
                      <w:t>Institucija ombudsmana za zaštitu potrošača u BiH</w:t>
                    </w:r>
                  </w:p>
                </w:tc>
              </w:sdtContent>
            </w:sdt>
          </w:tr>
          <w:tr w:rsidR="00324241">
            <w:trPr>
              <w:trHeight w:val="1440"/>
              <w:jc w:val="center"/>
            </w:trPr>
            <w:sdt>
              <w:sdtPr>
                <w:rPr>
                  <w:rFonts w:ascii="Georgia" w:eastAsiaTheme="majorEastAsia" w:hAnsi="Georgia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24241" w:rsidRPr="00C0669A" w:rsidRDefault="00324241" w:rsidP="00324241">
                    <w:pPr>
                      <w:pStyle w:val="Bezproreda"/>
                      <w:jc w:val="center"/>
                      <w:rPr>
                        <w:rFonts w:ascii="Georgia" w:eastAsiaTheme="majorEastAsia" w:hAnsi="Georgia" w:cstheme="majorBidi"/>
                        <w:sz w:val="80"/>
                        <w:szCs w:val="80"/>
                      </w:rPr>
                    </w:pPr>
                    <w:r w:rsidRPr="00C0669A">
                      <w:rPr>
                        <w:rFonts w:ascii="Georgia" w:eastAsiaTheme="majorEastAsia" w:hAnsi="Georgia" w:cstheme="majorBidi"/>
                        <w:sz w:val="80"/>
                        <w:szCs w:val="80"/>
                      </w:rPr>
                      <w:t>SREDNJOROČNI PLAN RADA</w:t>
                    </w:r>
                  </w:p>
                </w:tc>
              </w:sdtContent>
            </w:sdt>
          </w:tr>
          <w:tr w:rsidR="00324241">
            <w:trPr>
              <w:trHeight w:val="720"/>
              <w:jc w:val="center"/>
            </w:trPr>
            <w:sdt>
              <w:sdtPr>
                <w:rPr>
                  <w:rFonts w:ascii="Georgia" w:eastAsiaTheme="majorEastAsia" w:hAnsi="Georgia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24241" w:rsidRPr="00C0669A" w:rsidRDefault="002D15A5" w:rsidP="00324241">
                    <w:pPr>
                      <w:pStyle w:val="Bezproreda"/>
                      <w:jc w:val="center"/>
                      <w:rPr>
                        <w:rFonts w:ascii="Georgia" w:eastAsiaTheme="majorEastAsia" w:hAnsi="Georgia" w:cstheme="majorBidi"/>
                        <w:sz w:val="44"/>
                        <w:szCs w:val="44"/>
                      </w:rPr>
                    </w:pPr>
                    <w:r>
                      <w:rPr>
                        <w:rFonts w:ascii="Georgia" w:eastAsiaTheme="majorEastAsia" w:hAnsi="Georgia" w:cstheme="majorBidi"/>
                        <w:sz w:val="44"/>
                        <w:szCs w:val="44"/>
                      </w:rPr>
                      <w:t>2019-2021</w:t>
                    </w:r>
                  </w:p>
                </w:tc>
              </w:sdtContent>
            </w:sdt>
          </w:tr>
          <w:tr w:rsidR="0032424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24241" w:rsidRPr="00C0669A" w:rsidRDefault="00324241">
                <w:pPr>
                  <w:pStyle w:val="Bezproreda"/>
                  <w:jc w:val="center"/>
                  <w:rPr>
                    <w:rFonts w:ascii="Georgia" w:hAnsi="Georgia"/>
                  </w:rPr>
                </w:pPr>
              </w:p>
            </w:tc>
          </w:tr>
          <w:tr w:rsidR="00324241">
            <w:trPr>
              <w:trHeight w:val="360"/>
              <w:jc w:val="center"/>
            </w:trPr>
            <w:sdt>
              <w:sdtPr>
                <w:rPr>
                  <w:rFonts w:ascii="Georgia" w:hAnsi="Georgia"/>
                  <w:b/>
                  <w:bCs/>
                </w:rPr>
                <w:alias w:val="Author"/>
                <w:id w:val="15524260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24241" w:rsidRPr="00C0669A" w:rsidRDefault="002D15A5" w:rsidP="002D15A5">
                    <w:pPr>
                      <w:pStyle w:val="Bezproreda"/>
                      <w:jc w:val="center"/>
                      <w:rPr>
                        <w:rFonts w:ascii="Georgia" w:hAnsi="Georgia"/>
                        <w:b/>
                        <w:bCs/>
                      </w:rPr>
                    </w:pPr>
                    <w:r>
                      <w:rPr>
                        <w:rFonts w:ascii="Georgia" w:hAnsi="Georgia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324241">
            <w:trPr>
              <w:trHeight w:val="360"/>
              <w:jc w:val="center"/>
            </w:trPr>
            <w:sdt>
              <w:sdtPr>
                <w:rPr>
                  <w:rFonts w:ascii="Georgia" w:hAnsi="Georgia"/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05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24241" w:rsidRPr="00C0669A" w:rsidRDefault="00E8347E">
                    <w:pPr>
                      <w:pStyle w:val="Bezproreda"/>
                      <w:jc w:val="center"/>
                      <w:rPr>
                        <w:rFonts w:ascii="Georgia" w:hAnsi="Georgia"/>
                        <w:b/>
                        <w:bCs/>
                      </w:rPr>
                    </w:pPr>
                    <w:r>
                      <w:rPr>
                        <w:rFonts w:ascii="Georgia" w:hAnsi="Georgia"/>
                        <w:b/>
                        <w:bCs/>
                      </w:rPr>
                      <w:t>5/30/2018</w:t>
                    </w:r>
                  </w:p>
                </w:tc>
              </w:sdtContent>
            </w:sdt>
          </w:tr>
        </w:tbl>
        <w:p w:rsidR="00324241" w:rsidRDefault="00324241"/>
        <w:p w:rsidR="00324241" w:rsidRDefault="0032424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324241">
            <w:sdt>
              <w:sdtPr>
                <w:alias w:val="Abstract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324241" w:rsidRDefault="004D0ECD" w:rsidP="004D0ECD">
                    <w:pPr>
                      <w:pStyle w:val="Bezproreda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p w:rsidR="00324241" w:rsidRDefault="00324241"/>
        <w:p w:rsidR="00324241" w:rsidRDefault="00324241">
          <w:pPr>
            <w:rPr>
              <w:rFonts w:ascii="Georgia" w:hAnsi="Georgia" w:cs="Calibri"/>
              <w:b/>
              <w:sz w:val="28"/>
              <w:szCs w:val="28"/>
            </w:rPr>
          </w:pPr>
          <w:r>
            <w:rPr>
              <w:rFonts w:ascii="Georgia" w:hAnsi="Georgia" w:cs="Calibri"/>
              <w:b/>
              <w:sz w:val="28"/>
              <w:szCs w:val="28"/>
            </w:rPr>
            <w:br w:type="page"/>
          </w:r>
        </w:p>
      </w:sdtContent>
    </w:sdt>
    <w:p w:rsidR="00697775" w:rsidRPr="00697775" w:rsidRDefault="0069777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b/>
          <w:sz w:val="28"/>
          <w:szCs w:val="28"/>
        </w:rPr>
      </w:pPr>
      <w:r w:rsidRPr="00697775">
        <w:rPr>
          <w:rFonts w:ascii="Georgia" w:hAnsi="Georgia" w:cs="Calibri"/>
          <w:b/>
          <w:sz w:val="28"/>
          <w:szCs w:val="28"/>
        </w:rPr>
        <w:lastRenderedPageBreak/>
        <w:t xml:space="preserve">Poglavlje 1: Strateški okvir </w:t>
      </w:r>
    </w:p>
    <w:p w:rsidR="00697775" w:rsidRDefault="0069777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</w:rPr>
      </w:pPr>
    </w:p>
    <w:p w:rsidR="0018561B" w:rsidRPr="00697775" w:rsidRDefault="0018561B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 w:rsidRPr="00697775">
        <w:rPr>
          <w:rFonts w:ascii="Georgia" w:hAnsi="Georgia" w:cs="Calibri"/>
          <w:sz w:val="24"/>
          <w:szCs w:val="24"/>
        </w:rPr>
        <w:t>Nacrtom strateškog okvira BiH identificirana su razvojna podru</w:t>
      </w:r>
      <w:r w:rsidR="00697775" w:rsidRPr="00697775">
        <w:rPr>
          <w:rFonts w:ascii="Georgia" w:hAnsi="Georgia" w:cs="Calibri"/>
          <w:sz w:val="24"/>
          <w:szCs w:val="24"/>
        </w:rPr>
        <w:t>čja u okviru načela razvoja koja su usvojena za Strategiju Jugoistočne Eu</w:t>
      </w:r>
      <w:r w:rsidRPr="00697775">
        <w:rPr>
          <w:rFonts w:ascii="Georgia" w:hAnsi="Georgia" w:cs="Calibri"/>
          <w:sz w:val="24"/>
          <w:szCs w:val="24"/>
        </w:rPr>
        <w:t xml:space="preserve">rope 2020. </w:t>
      </w:r>
    </w:p>
    <w:p w:rsidR="00BD122C" w:rsidRPr="003F289D" w:rsidRDefault="0018561B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-Italic"/>
          <w:b/>
          <w:i/>
          <w:iCs/>
          <w:sz w:val="24"/>
          <w:szCs w:val="24"/>
        </w:rPr>
      </w:pPr>
      <w:r w:rsidRPr="00697775">
        <w:rPr>
          <w:rFonts w:ascii="Georgia" w:hAnsi="Georgia" w:cs="Calibri"/>
          <w:sz w:val="24"/>
          <w:szCs w:val="24"/>
        </w:rPr>
        <w:t>Između ostalih</w:t>
      </w:r>
      <w:r w:rsidR="003F289D">
        <w:rPr>
          <w:rFonts w:ascii="Georgia" w:hAnsi="Georgia" w:cs="Calibri"/>
          <w:sz w:val="24"/>
          <w:szCs w:val="24"/>
        </w:rPr>
        <w:t xml:space="preserve"> </w:t>
      </w:r>
      <w:r w:rsidR="003F289D" w:rsidRPr="003F289D">
        <w:rPr>
          <w:rFonts w:ascii="Georgia" w:hAnsi="Georgia" w:cs="Calibri"/>
          <w:b/>
          <w:i/>
          <w:sz w:val="24"/>
          <w:szCs w:val="24"/>
        </w:rPr>
        <w:t>Integrirani rast</w:t>
      </w:r>
      <w:r w:rsidRPr="00697775">
        <w:rPr>
          <w:rStyle w:val="Referencafusnote"/>
          <w:rFonts w:ascii="Georgia" w:hAnsi="Georgia" w:cs="Calibri-Italic"/>
          <w:i/>
          <w:iCs/>
          <w:sz w:val="24"/>
          <w:szCs w:val="24"/>
        </w:rPr>
        <w:footnoteReference w:id="1"/>
      </w:r>
      <w:r w:rsidRPr="00697775">
        <w:rPr>
          <w:rFonts w:ascii="Georgia" w:hAnsi="Georgia" w:cs="Calibri-Italic"/>
          <w:i/>
          <w:iCs/>
          <w:sz w:val="24"/>
          <w:szCs w:val="24"/>
        </w:rPr>
        <w:t xml:space="preserve"> </w:t>
      </w:r>
      <w:r w:rsidR="003F289D">
        <w:rPr>
          <w:rFonts w:ascii="Georgia" w:hAnsi="Georgia" w:cs="Calibri"/>
          <w:sz w:val="24"/>
          <w:szCs w:val="24"/>
        </w:rPr>
        <w:t>utvrđen</w:t>
      </w:r>
      <w:r w:rsidRPr="00697775">
        <w:rPr>
          <w:rFonts w:ascii="Georgia" w:hAnsi="Georgia" w:cs="Calibri"/>
          <w:sz w:val="24"/>
          <w:szCs w:val="24"/>
        </w:rPr>
        <w:t xml:space="preserve"> je kao autentični razvojni interes BiH </w:t>
      </w:r>
      <w:r w:rsidRPr="00697775">
        <w:rPr>
          <w:rFonts w:ascii="Georgia" w:hAnsi="Georgia" w:cs="Calibri-Italic"/>
          <w:iCs/>
          <w:sz w:val="24"/>
          <w:szCs w:val="24"/>
        </w:rPr>
        <w:t xml:space="preserve">kojem </w:t>
      </w:r>
      <w:r w:rsidR="00697775" w:rsidRPr="00697775">
        <w:rPr>
          <w:rFonts w:ascii="Georgia" w:hAnsi="Georgia" w:cs="Calibri-Italic"/>
          <w:iCs/>
          <w:sz w:val="24"/>
          <w:szCs w:val="24"/>
        </w:rPr>
        <w:t xml:space="preserve">doprinosi </w:t>
      </w:r>
      <w:r w:rsidRPr="00697775">
        <w:rPr>
          <w:rFonts w:ascii="Georgia" w:hAnsi="Georgia" w:cs="Calibri-Italic"/>
          <w:iCs/>
          <w:sz w:val="24"/>
          <w:szCs w:val="24"/>
        </w:rPr>
        <w:t xml:space="preserve">mandat Institucije ombudsmana za zaštitu potrošača. </w:t>
      </w:r>
    </w:p>
    <w:p w:rsidR="003E2794" w:rsidRPr="00697775" w:rsidRDefault="003E2794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-Italic"/>
          <w:iCs/>
          <w:sz w:val="24"/>
          <w:szCs w:val="24"/>
        </w:rPr>
      </w:pPr>
      <w:r w:rsidRPr="00697775">
        <w:rPr>
          <w:rFonts w:ascii="Georgia" w:hAnsi="Georgia" w:cs="Calibri-Italic"/>
          <w:iCs/>
          <w:sz w:val="24"/>
          <w:szCs w:val="24"/>
        </w:rPr>
        <w:t xml:space="preserve">Iz tog općeg razvojnog načela proizlazi strateški cilje institucije: </w:t>
      </w:r>
      <w:r w:rsidRPr="00697775">
        <w:rPr>
          <w:rFonts w:ascii="Georgia" w:hAnsi="Georgia" w:cs="Calibri-Italic"/>
          <w:b/>
          <w:i/>
          <w:iCs/>
          <w:sz w:val="24"/>
          <w:szCs w:val="24"/>
        </w:rPr>
        <w:t xml:space="preserve">Unaprijediti razvoj konkurentnog </w:t>
      </w:r>
      <w:r w:rsidR="003F289D">
        <w:rPr>
          <w:rFonts w:ascii="Georgia" w:hAnsi="Georgia" w:cs="Calibri-Italic"/>
          <w:b/>
          <w:i/>
          <w:iCs/>
          <w:sz w:val="24"/>
          <w:szCs w:val="24"/>
        </w:rPr>
        <w:t xml:space="preserve">ekonomskog </w:t>
      </w:r>
      <w:r w:rsidRPr="00697775">
        <w:rPr>
          <w:rFonts w:ascii="Georgia" w:hAnsi="Georgia" w:cs="Calibri-Italic"/>
          <w:b/>
          <w:i/>
          <w:iCs/>
          <w:sz w:val="24"/>
          <w:szCs w:val="24"/>
        </w:rPr>
        <w:t>okruženja</w:t>
      </w:r>
      <w:r w:rsidRPr="00697775">
        <w:rPr>
          <w:rFonts w:ascii="Georgia" w:hAnsi="Georgia" w:cs="Calibri-Italic"/>
          <w:iCs/>
          <w:sz w:val="24"/>
          <w:szCs w:val="24"/>
        </w:rPr>
        <w:t>.</w:t>
      </w:r>
    </w:p>
    <w:p w:rsidR="003E2794" w:rsidRDefault="003E2794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 w:rsidRPr="00697775">
        <w:rPr>
          <w:rFonts w:ascii="Georgia" w:hAnsi="Georgia" w:cs="Calibri-Italic"/>
          <w:iCs/>
          <w:sz w:val="24"/>
          <w:szCs w:val="24"/>
        </w:rPr>
        <w:t>Naime</w:t>
      </w:r>
      <w:r w:rsidR="00697775" w:rsidRPr="00697775">
        <w:rPr>
          <w:rFonts w:ascii="Georgia" w:hAnsi="Georgia" w:cs="Calibri-Italic"/>
          <w:iCs/>
          <w:sz w:val="24"/>
          <w:szCs w:val="24"/>
        </w:rPr>
        <w:t xml:space="preserve">, </w:t>
      </w:r>
      <w:r w:rsidRPr="00697775">
        <w:rPr>
          <w:rFonts w:ascii="Georgia" w:hAnsi="Georgia" w:cs="Calibri-Italic"/>
          <w:iCs/>
          <w:sz w:val="24"/>
          <w:szCs w:val="24"/>
        </w:rPr>
        <w:t xml:space="preserve"> zaštita potrošača, tj. njeni nositelji, predstavljaju produženu „nevidljivu“ tržišnu ruku i jedini ekonomsko dopustivi i opravdan korektiv trž</w:t>
      </w:r>
      <w:r w:rsidR="00BD1FFD" w:rsidRPr="00697775">
        <w:rPr>
          <w:rFonts w:ascii="Georgia" w:hAnsi="Georgia" w:cs="Calibri-Italic"/>
          <w:iCs/>
          <w:sz w:val="24"/>
          <w:szCs w:val="24"/>
        </w:rPr>
        <w:t xml:space="preserve">išnih odnosa budući da </w:t>
      </w:r>
      <w:r w:rsidR="00697775" w:rsidRPr="00697775">
        <w:rPr>
          <w:rFonts w:ascii="Georgia" w:hAnsi="Georgia" w:cs="Calibri"/>
          <w:sz w:val="24"/>
          <w:szCs w:val="24"/>
        </w:rPr>
        <w:t>z</w:t>
      </w:r>
      <w:r w:rsidR="00BD1FFD" w:rsidRPr="00697775">
        <w:rPr>
          <w:rFonts w:ascii="Georgia" w:hAnsi="Georgia" w:cs="Calibri"/>
          <w:sz w:val="24"/>
          <w:szCs w:val="24"/>
        </w:rPr>
        <w:t>ahtjevi konkurentnog ekonomsko</w:t>
      </w:r>
      <w:r w:rsidR="00697775">
        <w:rPr>
          <w:rFonts w:ascii="Georgia" w:hAnsi="Georgia" w:cs="Calibri"/>
          <w:sz w:val="24"/>
          <w:szCs w:val="24"/>
        </w:rPr>
        <w:t>g</w:t>
      </w:r>
      <w:r w:rsidR="00BD1FFD" w:rsidRPr="00697775">
        <w:rPr>
          <w:rFonts w:ascii="Georgia" w:hAnsi="Georgia" w:cs="Calibri"/>
          <w:sz w:val="24"/>
          <w:szCs w:val="24"/>
        </w:rPr>
        <w:t xml:space="preserve"> okruženja uvelike korespondiraju sa interesno orijentiranim potrošačima. </w:t>
      </w:r>
      <w:r w:rsidR="00922FF0" w:rsidRPr="00697775">
        <w:rPr>
          <w:rFonts w:ascii="Georgia" w:hAnsi="Georgia" w:cs="Calibri-Italic"/>
          <w:iCs/>
          <w:sz w:val="24"/>
          <w:szCs w:val="24"/>
        </w:rPr>
        <w:t xml:space="preserve">Jedan od prioriteta sadržanih u Nacrtu jest i </w:t>
      </w:r>
      <w:r w:rsidRPr="00697775">
        <w:rPr>
          <w:rFonts w:ascii="Georgia" w:hAnsi="Georgia" w:cs="Calibri-Italic"/>
          <w:iCs/>
          <w:sz w:val="24"/>
          <w:szCs w:val="24"/>
        </w:rPr>
        <w:t xml:space="preserve"> </w:t>
      </w:r>
      <w:r w:rsidR="00922FF0" w:rsidRPr="00697775">
        <w:rPr>
          <w:rFonts w:ascii="Georgia" w:hAnsi="Georgia" w:cs="Calibri"/>
          <w:sz w:val="24"/>
          <w:szCs w:val="24"/>
        </w:rPr>
        <w:t>usklađivanje tehničke regulative i standarda kao preduvjeta za slobodno</w:t>
      </w:r>
      <w:r w:rsidR="00697775" w:rsidRPr="00697775">
        <w:rPr>
          <w:rFonts w:ascii="Georgia" w:hAnsi="Georgia" w:cs="Calibri"/>
          <w:sz w:val="24"/>
          <w:szCs w:val="24"/>
        </w:rPr>
        <w:t xml:space="preserve"> </w:t>
      </w:r>
      <w:r w:rsidR="00922FF0" w:rsidRPr="00697775">
        <w:rPr>
          <w:rFonts w:ascii="Georgia" w:hAnsi="Georgia" w:cs="Calibri"/>
          <w:sz w:val="24"/>
          <w:szCs w:val="24"/>
        </w:rPr>
        <w:t>kretanje proizvoda koji su sigurni za upotrebu i koji ne ugrožavaju zdravlje ljudi, zdravlje životinja i</w:t>
      </w:r>
      <w:r w:rsidR="00697775" w:rsidRPr="00697775">
        <w:rPr>
          <w:rFonts w:ascii="Georgia" w:hAnsi="Georgia" w:cs="Calibri"/>
          <w:sz w:val="24"/>
          <w:szCs w:val="24"/>
        </w:rPr>
        <w:t xml:space="preserve"> </w:t>
      </w:r>
      <w:r w:rsidR="00922FF0" w:rsidRPr="00697775">
        <w:rPr>
          <w:rFonts w:ascii="Georgia" w:hAnsi="Georgia" w:cs="Calibri"/>
          <w:sz w:val="24"/>
          <w:szCs w:val="24"/>
        </w:rPr>
        <w:t>životnu sre</w:t>
      </w:r>
      <w:r w:rsidR="00697775">
        <w:rPr>
          <w:rFonts w:ascii="Georgia" w:hAnsi="Georgia" w:cs="Calibri"/>
          <w:sz w:val="24"/>
          <w:szCs w:val="24"/>
        </w:rPr>
        <w:t>dinu. Slobodan protok roba jedno je od ključnih načela</w:t>
      </w:r>
      <w:r w:rsidR="00922FF0" w:rsidRPr="00697775">
        <w:rPr>
          <w:rFonts w:ascii="Georgia" w:hAnsi="Georgia" w:cs="Calibri"/>
          <w:sz w:val="24"/>
          <w:szCs w:val="24"/>
        </w:rPr>
        <w:t xml:space="preserve"> kako jed</w:t>
      </w:r>
      <w:r w:rsidR="00697775">
        <w:rPr>
          <w:rFonts w:ascii="Georgia" w:hAnsi="Georgia" w:cs="Calibri"/>
          <w:sz w:val="24"/>
          <w:szCs w:val="24"/>
        </w:rPr>
        <w:t>instvenog eu</w:t>
      </w:r>
      <w:r w:rsidR="00922FF0" w:rsidRPr="00697775">
        <w:rPr>
          <w:rFonts w:ascii="Georgia" w:hAnsi="Georgia" w:cs="Calibri"/>
          <w:sz w:val="24"/>
          <w:szCs w:val="24"/>
        </w:rPr>
        <w:t xml:space="preserve">ropskog tržišta tako i jedinstvenog ekonomskog prostora BiH te se između ostalog osigurava i Zakonom o zaštiti potrošača. </w:t>
      </w:r>
      <w:r w:rsidR="00697775" w:rsidRPr="00697775">
        <w:rPr>
          <w:rFonts w:ascii="Georgia" w:hAnsi="Georgia" w:cs="Calibri"/>
          <w:sz w:val="24"/>
          <w:szCs w:val="24"/>
        </w:rPr>
        <w:t xml:space="preserve"> </w:t>
      </w:r>
      <w:r w:rsidR="00BD1FFD" w:rsidRPr="00697775">
        <w:rPr>
          <w:rFonts w:ascii="Georgia" w:hAnsi="Georgia" w:cs="Calibri"/>
          <w:sz w:val="24"/>
          <w:szCs w:val="24"/>
        </w:rPr>
        <w:t xml:space="preserve">Zaštita potrošača se temelji na načelima građanskog ugovornog prava te se njome potiče konkurentnost tržišta, gospodarstvo i trgovina te konsolidira poslijeratno društvo.  </w:t>
      </w:r>
    </w:p>
    <w:p w:rsidR="00697775" w:rsidRDefault="0069777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697775" w:rsidRPr="00450231" w:rsidRDefault="0069777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b/>
          <w:sz w:val="28"/>
          <w:szCs w:val="28"/>
        </w:rPr>
      </w:pPr>
      <w:r w:rsidRPr="00450231">
        <w:rPr>
          <w:rFonts w:ascii="Georgia" w:hAnsi="Georgia" w:cs="Calibri"/>
          <w:b/>
          <w:sz w:val="28"/>
          <w:szCs w:val="28"/>
        </w:rPr>
        <w:t>Poglavlje 2: Vizija i misija institucije</w:t>
      </w:r>
    </w:p>
    <w:p w:rsidR="00697775" w:rsidRDefault="0069777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697775" w:rsidRDefault="00450231" w:rsidP="002F7D37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Tahoma"/>
          <w:sz w:val="24"/>
          <w:szCs w:val="24"/>
        </w:rPr>
      </w:pPr>
      <w:r w:rsidRPr="00450231">
        <w:rPr>
          <w:rFonts w:ascii="Georgia" w:hAnsi="Georgia" w:cs="Tahoma"/>
          <w:sz w:val="24"/>
          <w:szCs w:val="24"/>
        </w:rPr>
        <w:t xml:space="preserve">Institucija ombudsmana za zaštitu potrošača u BiH (dalje u tekstu </w:t>
      </w:r>
      <w:r w:rsidRPr="00450231">
        <w:rPr>
          <w:rFonts w:ascii="Georgia" w:hAnsi="Georgia" w:cs="Tahoma"/>
          <w:i/>
          <w:sz w:val="24"/>
          <w:szCs w:val="24"/>
        </w:rPr>
        <w:t>Institucija ombudsmana</w:t>
      </w:r>
      <w:r w:rsidRPr="00450231">
        <w:rPr>
          <w:rFonts w:ascii="Georgia" w:hAnsi="Georgia" w:cs="Tahoma"/>
          <w:sz w:val="24"/>
          <w:szCs w:val="24"/>
        </w:rPr>
        <w:t>) je neovisna institucija uspostavljena s ciljem promidžbe dobrog i učinkovitog provođenja politike zaštite potrošača u BiH.</w:t>
      </w:r>
      <w:r w:rsidRPr="00450231">
        <w:rPr>
          <w:rFonts w:ascii="Georgia" w:hAnsi="Georgia" w:cs="Tahoma"/>
          <w:i/>
          <w:sz w:val="24"/>
          <w:szCs w:val="24"/>
        </w:rPr>
        <w:t xml:space="preserve"> Zakon o zaštiti potrošača u BiH</w:t>
      </w:r>
      <w:r w:rsidRPr="00450231">
        <w:rPr>
          <w:rStyle w:val="Referencafusnote"/>
          <w:rFonts w:ascii="Georgia" w:hAnsi="Georgia" w:cs="Tahoma"/>
          <w:i/>
          <w:sz w:val="24"/>
          <w:szCs w:val="24"/>
        </w:rPr>
        <w:footnoteReference w:id="2"/>
      </w:r>
      <w:r w:rsidRPr="00450231">
        <w:rPr>
          <w:rFonts w:ascii="Georgia" w:hAnsi="Georgia" w:cs="Tahoma"/>
          <w:i/>
          <w:sz w:val="24"/>
          <w:szCs w:val="24"/>
        </w:rPr>
        <w:t xml:space="preserve"> </w:t>
      </w:r>
      <w:r w:rsidRPr="00450231">
        <w:rPr>
          <w:rFonts w:ascii="Georgia" w:hAnsi="Georgia" w:cs="Tahoma"/>
          <w:sz w:val="24"/>
          <w:szCs w:val="24"/>
        </w:rPr>
        <w:t>(dalje u tekstu:</w:t>
      </w:r>
      <w:r w:rsidRPr="00450231">
        <w:rPr>
          <w:rFonts w:ascii="Georgia" w:hAnsi="Georgia" w:cs="Tahoma"/>
          <w:i/>
          <w:sz w:val="24"/>
          <w:szCs w:val="24"/>
        </w:rPr>
        <w:t xml:space="preserve"> Zakon</w:t>
      </w:r>
      <w:r w:rsidRPr="00450231">
        <w:rPr>
          <w:rFonts w:ascii="Georgia" w:hAnsi="Georgia" w:cs="Tahoma"/>
          <w:sz w:val="24"/>
          <w:szCs w:val="24"/>
        </w:rPr>
        <w:t>), kao temeljni zakon Institucije ombudsmana, propisuje  obveze  i ovlaštenja Ombudsmana i istovremeno uređuje odnose između  potrošača,  proiz</w:t>
      </w:r>
      <w:r>
        <w:rPr>
          <w:rFonts w:ascii="Georgia" w:hAnsi="Georgia" w:cs="Tahoma"/>
          <w:sz w:val="24"/>
          <w:szCs w:val="24"/>
        </w:rPr>
        <w:t xml:space="preserve">vođača i trgovaca na teritoriju </w:t>
      </w:r>
      <w:r w:rsidRPr="00450231">
        <w:rPr>
          <w:rFonts w:ascii="Georgia" w:hAnsi="Georgia" w:cs="Tahoma"/>
          <w:sz w:val="24"/>
          <w:szCs w:val="24"/>
        </w:rPr>
        <w:t>Bosne i Hercegovine.  Zakon o zaštiti potrošača u BiH je u trenutku donošenja bio usklađen s pravnom stečevinom EU-a.</w:t>
      </w:r>
    </w:p>
    <w:p w:rsidR="00CD40E9" w:rsidRDefault="002F7D37" w:rsidP="002F7D37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  <w:szCs w:val="24"/>
        </w:rPr>
      </w:pPr>
      <w:r w:rsidRPr="002F7D37">
        <w:rPr>
          <w:rFonts w:ascii="Georgia" w:hAnsi="Georgia"/>
          <w:sz w:val="24"/>
          <w:szCs w:val="24"/>
        </w:rPr>
        <w:t>Ombudsman pruža pomoć potrošačima u pojedinačnim predmetima postu</w:t>
      </w:r>
      <w:r>
        <w:rPr>
          <w:rFonts w:ascii="Georgia" w:hAnsi="Georgia"/>
          <w:sz w:val="24"/>
          <w:szCs w:val="24"/>
        </w:rPr>
        <w:t xml:space="preserve">pajući po zaprimljenim žalbama. </w:t>
      </w:r>
      <w:r w:rsidR="005E6CBD" w:rsidRPr="00816CA4">
        <w:rPr>
          <w:rFonts w:ascii="Georgia" w:hAnsi="Georgia"/>
          <w:sz w:val="24"/>
          <w:szCs w:val="24"/>
        </w:rPr>
        <w:t xml:space="preserve">Svakodnevno  informira potrošače o njihovim pravima putem otvorene telefonske </w:t>
      </w:r>
      <w:r w:rsidR="009223F3" w:rsidRPr="00816CA4">
        <w:rPr>
          <w:rFonts w:ascii="Georgia" w:hAnsi="Georgia"/>
          <w:sz w:val="24"/>
          <w:szCs w:val="24"/>
        </w:rPr>
        <w:t xml:space="preserve">linije, daje pismene odgovore </w:t>
      </w:r>
      <w:r w:rsidR="005E6CBD" w:rsidRPr="00816CA4">
        <w:rPr>
          <w:rFonts w:ascii="Georgia" w:hAnsi="Georgia"/>
          <w:sz w:val="24"/>
          <w:szCs w:val="24"/>
        </w:rPr>
        <w:t xml:space="preserve">na pojedinačne upite potrošača, vodi  postupke po pojedinačnim žalbama potrošača i po službenoj dužnosti, donosi </w:t>
      </w:r>
      <w:r w:rsidR="00CD40E9" w:rsidRPr="00816CA4">
        <w:rPr>
          <w:rFonts w:ascii="Georgia" w:hAnsi="Georgia"/>
          <w:sz w:val="24"/>
          <w:szCs w:val="24"/>
        </w:rPr>
        <w:t xml:space="preserve"> odluke, preporuke</w:t>
      </w:r>
      <w:r w:rsidR="009223F3" w:rsidRPr="00816CA4">
        <w:rPr>
          <w:rFonts w:ascii="Georgia" w:hAnsi="Georgia"/>
          <w:sz w:val="24"/>
          <w:szCs w:val="24"/>
        </w:rPr>
        <w:t xml:space="preserve"> i druge mjere</w:t>
      </w:r>
      <w:r w:rsidR="005E6CBD" w:rsidRPr="00816CA4">
        <w:rPr>
          <w:rFonts w:ascii="Georgia" w:hAnsi="Georgia"/>
          <w:sz w:val="24"/>
          <w:szCs w:val="24"/>
        </w:rPr>
        <w:t xml:space="preserve"> kojima se štiti pojedinačan interes potrošača te daje  mišljenja i tumačenja  u cilju bolje zaštite potrošača. Temeljem postupanja u pojedinačnim predmetima vrši sveobuhvatnu analizu žalbi sa istovjetnim činjenični</w:t>
      </w:r>
      <w:r w:rsidR="009223F3" w:rsidRPr="00816CA4">
        <w:rPr>
          <w:rFonts w:ascii="Georgia" w:hAnsi="Georgia"/>
          <w:sz w:val="24"/>
          <w:szCs w:val="24"/>
        </w:rPr>
        <w:t xml:space="preserve">m i pravnim temeljem </w:t>
      </w:r>
      <w:r w:rsidR="00CD40E9" w:rsidRPr="00816CA4">
        <w:rPr>
          <w:rFonts w:ascii="Georgia" w:hAnsi="Georgia"/>
          <w:sz w:val="24"/>
          <w:szCs w:val="24"/>
        </w:rPr>
        <w:t xml:space="preserve">u cilju </w:t>
      </w:r>
      <w:r w:rsidR="009223F3" w:rsidRPr="00816CA4">
        <w:rPr>
          <w:rFonts w:ascii="Georgia" w:hAnsi="Georgia"/>
          <w:sz w:val="24"/>
          <w:szCs w:val="24"/>
        </w:rPr>
        <w:t>po</w:t>
      </w:r>
      <w:r w:rsidR="005E6CBD" w:rsidRPr="00816CA4">
        <w:rPr>
          <w:rFonts w:ascii="Georgia" w:hAnsi="Georgia"/>
          <w:sz w:val="24"/>
          <w:szCs w:val="24"/>
        </w:rPr>
        <w:t xml:space="preserve">duzimanja mjera kolektivne zaštite. </w:t>
      </w:r>
      <w:r w:rsidR="009223F3" w:rsidRPr="00816CA4">
        <w:rPr>
          <w:rFonts w:ascii="Georgia" w:hAnsi="Georgia"/>
          <w:sz w:val="24"/>
          <w:szCs w:val="24"/>
        </w:rPr>
        <w:t xml:space="preserve">U tom smislu </w:t>
      </w:r>
      <w:r w:rsidR="00CD40E9" w:rsidRPr="00816CA4">
        <w:rPr>
          <w:rFonts w:ascii="Georgia" w:hAnsi="Georgia"/>
          <w:sz w:val="24"/>
          <w:szCs w:val="24"/>
        </w:rPr>
        <w:t>Projekt 1 služi kao temelj i</w:t>
      </w:r>
      <w:r w:rsidR="009223F3" w:rsidRPr="00816CA4">
        <w:rPr>
          <w:rFonts w:ascii="Georgia" w:hAnsi="Georgia"/>
          <w:sz w:val="24"/>
          <w:szCs w:val="24"/>
        </w:rPr>
        <w:t xml:space="preserve"> izv</w:t>
      </w:r>
      <w:r w:rsidR="00CD40E9" w:rsidRPr="00816CA4">
        <w:rPr>
          <w:rFonts w:ascii="Georgia" w:hAnsi="Georgia"/>
          <w:sz w:val="24"/>
          <w:szCs w:val="24"/>
        </w:rPr>
        <w:t>or vjerodostojnih informacija te smjernica</w:t>
      </w:r>
      <w:r w:rsidR="009223F3" w:rsidRPr="00816CA4">
        <w:rPr>
          <w:rFonts w:ascii="Georgia" w:hAnsi="Georgia"/>
          <w:sz w:val="24"/>
          <w:szCs w:val="24"/>
        </w:rPr>
        <w:t xml:space="preserve"> za provođenje kolektivnih aktivnosti i mjera.</w:t>
      </w:r>
      <w:r w:rsidRPr="002F7D37">
        <w:rPr>
          <w:rFonts w:ascii="Georgia" w:hAnsi="Georgia"/>
          <w:sz w:val="24"/>
          <w:szCs w:val="24"/>
        </w:rPr>
        <w:t xml:space="preserve"> </w:t>
      </w:r>
    </w:p>
    <w:p w:rsidR="00E4282A" w:rsidRDefault="00CD40E9" w:rsidP="002F7D37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  <w:szCs w:val="24"/>
        </w:rPr>
      </w:pPr>
      <w:r w:rsidRPr="00816CA4">
        <w:rPr>
          <w:rFonts w:ascii="Georgia" w:hAnsi="Georgia"/>
          <w:sz w:val="24"/>
          <w:szCs w:val="24"/>
        </w:rPr>
        <w:lastRenderedPageBreak/>
        <w:t xml:space="preserve">Projekt 2 predstavlja kolektivne aspekt </w:t>
      </w:r>
      <w:r w:rsidR="00AA3203" w:rsidRPr="00816CA4">
        <w:rPr>
          <w:rFonts w:ascii="Georgia" w:hAnsi="Georgia"/>
          <w:sz w:val="24"/>
          <w:szCs w:val="24"/>
        </w:rPr>
        <w:t>djelovanja I</w:t>
      </w:r>
      <w:r w:rsidRPr="00816CA4">
        <w:rPr>
          <w:rFonts w:ascii="Georgia" w:hAnsi="Georgia"/>
          <w:sz w:val="24"/>
          <w:szCs w:val="24"/>
        </w:rPr>
        <w:t>nstitucije ombudsmana. Obilježava ga suradnja sa ostalim nositeljima zaštite pot</w:t>
      </w:r>
      <w:r w:rsidR="00984C75" w:rsidRPr="00816CA4">
        <w:rPr>
          <w:rFonts w:ascii="Georgia" w:hAnsi="Georgia"/>
          <w:sz w:val="24"/>
          <w:szCs w:val="24"/>
        </w:rPr>
        <w:t>rošača (učesnicima i  partnerima)</w:t>
      </w:r>
      <w:r w:rsidRPr="00816CA4">
        <w:rPr>
          <w:rFonts w:ascii="Georgia" w:hAnsi="Georgia"/>
          <w:sz w:val="24"/>
          <w:szCs w:val="24"/>
        </w:rPr>
        <w:t xml:space="preserve"> u prvom redu sa </w:t>
      </w:r>
      <w:r w:rsidR="00984C75" w:rsidRPr="00816CA4">
        <w:rPr>
          <w:rFonts w:ascii="Georgia" w:hAnsi="Georgia"/>
          <w:sz w:val="24"/>
          <w:szCs w:val="24"/>
        </w:rPr>
        <w:t>drugim institucijama (regulatornim agencijama, tržišnim inspekcijama, Ombudsmanom za zaštitu ljudskih prava i dr.) kao i sa udruženjima za zaštitu potrošača, medijima te obrazovnim institucijama.</w:t>
      </w:r>
      <w:r w:rsidR="00984C75">
        <w:rPr>
          <w:rFonts w:ascii="Georgia" w:hAnsi="Georgia"/>
          <w:sz w:val="24"/>
          <w:szCs w:val="24"/>
        </w:rPr>
        <w:t xml:space="preserve"> </w:t>
      </w:r>
      <w:r w:rsidR="002F7D37" w:rsidRPr="002F7D37">
        <w:rPr>
          <w:rFonts w:ascii="Georgia" w:hAnsi="Georgia"/>
          <w:sz w:val="24"/>
          <w:szCs w:val="24"/>
        </w:rPr>
        <w:t>Podnošenjem Posebnih izvješća o stanju potrošačkih prava u pojedin</w:t>
      </w:r>
      <w:r w:rsidR="002F7D37">
        <w:rPr>
          <w:rFonts w:ascii="Georgia" w:hAnsi="Georgia"/>
          <w:sz w:val="24"/>
          <w:szCs w:val="24"/>
        </w:rPr>
        <w:t xml:space="preserve">ačnim sektorima kao i Godišnjih </w:t>
      </w:r>
      <w:r w:rsidR="002F7D37" w:rsidRPr="002F7D37">
        <w:rPr>
          <w:rFonts w:ascii="Georgia" w:hAnsi="Georgia"/>
          <w:sz w:val="24"/>
          <w:szCs w:val="24"/>
        </w:rPr>
        <w:t xml:space="preserve">izvješća o radu </w:t>
      </w:r>
      <w:r w:rsidR="002F7D37">
        <w:rPr>
          <w:rFonts w:ascii="Georgia" w:hAnsi="Georgia"/>
          <w:sz w:val="24"/>
          <w:szCs w:val="24"/>
        </w:rPr>
        <w:t>Ombudsman pruža</w:t>
      </w:r>
      <w:r w:rsidR="002F7D37" w:rsidRPr="002F7D37">
        <w:rPr>
          <w:rFonts w:ascii="Georgia" w:hAnsi="Georgia"/>
          <w:sz w:val="24"/>
          <w:szCs w:val="24"/>
        </w:rPr>
        <w:t xml:space="preserve"> niz korisnih informacija temeljenih na </w:t>
      </w:r>
      <w:r w:rsidR="002F7D37">
        <w:rPr>
          <w:rFonts w:ascii="Georgia" w:hAnsi="Georgia"/>
          <w:sz w:val="24"/>
          <w:szCs w:val="24"/>
        </w:rPr>
        <w:t xml:space="preserve">pouzdanim tvrdnjama i utvrđenim </w:t>
      </w:r>
      <w:r w:rsidR="002F7D37" w:rsidRPr="002F7D37">
        <w:rPr>
          <w:rFonts w:ascii="Georgia" w:hAnsi="Georgia"/>
          <w:sz w:val="24"/>
          <w:szCs w:val="24"/>
        </w:rPr>
        <w:t xml:space="preserve">činjenicama. </w:t>
      </w:r>
    </w:p>
    <w:p w:rsidR="00AA3203" w:rsidRPr="00816CA4" w:rsidRDefault="00984C75" w:rsidP="002F7D37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  <w:szCs w:val="24"/>
        </w:rPr>
      </w:pPr>
      <w:r w:rsidRPr="00816CA4">
        <w:rPr>
          <w:rFonts w:ascii="Georgia" w:hAnsi="Georgia"/>
          <w:sz w:val="24"/>
          <w:szCs w:val="24"/>
        </w:rPr>
        <w:t>U okviru Projekta 2 donose se akti kolektivnog karaktera (Preporuke, Posebni izvještaji, Instrukcije</w:t>
      </w:r>
      <w:r w:rsidR="00AA3203" w:rsidRPr="00816CA4">
        <w:rPr>
          <w:rFonts w:ascii="Georgia" w:hAnsi="Georgia"/>
          <w:sz w:val="24"/>
          <w:szCs w:val="24"/>
        </w:rPr>
        <w:t xml:space="preserve"> za prestanak prakse suprotne potro</w:t>
      </w:r>
      <w:r w:rsidR="00CC25B9" w:rsidRPr="00816CA4">
        <w:rPr>
          <w:rFonts w:ascii="Georgia" w:hAnsi="Georgia"/>
          <w:sz w:val="24"/>
          <w:szCs w:val="24"/>
        </w:rPr>
        <w:t>šačkoj legislativi, Sudske postupci</w:t>
      </w:r>
      <w:r w:rsidR="00AA3203" w:rsidRPr="00816CA4">
        <w:rPr>
          <w:rFonts w:ascii="Georgia" w:hAnsi="Georgia"/>
          <w:sz w:val="24"/>
          <w:szCs w:val="24"/>
        </w:rPr>
        <w:t xml:space="preserve"> za provođenje instrukcija) koji imaju za cilj zaštitu ekonomskog interesa specifičnih grupa potrošača. Stoga učinak ovih mjera je dalekosežniji, jer </w:t>
      </w:r>
      <w:r w:rsidR="00E4282A" w:rsidRPr="00816CA4">
        <w:rPr>
          <w:rFonts w:ascii="Georgia" w:hAnsi="Georgia"/>
          <w:sz w:val="24"/>
          <w:szCs w:val="24"/>
        </w:rPr>
        <w:t xml:space="preserve">se </w:t>
      </w:r>
      <w:r w:rsidR="00AA3203" w:rsidRPr="00816CA4">
        <w:rPr>
          <w:rFonts w:ascii="Georgia" w:hAnsi="Georgia"/>
          <w:sz w:val="24"/>
          <w:szCs w:val="24"/>
        </w:rPr>
        <w:t xml:space="preserve">uspjeh </w:t>
      </w:r>
      <w:r w:rsidR="00E4282A" w:rsidRPr="00816CA4">
        <w:rPr>
          <w:rFonts w:ascii="Georgia" w:hAnsi="Georgia"/>
          <w:sz w:val="24"/>
          <w:szCs w:val="24"/>
        </w:rPr>
        <w:t xml:space="preserve">aktivnosti i mjere poduzete </w:t>
      </w:r>
      <w:r w:rsidR="00AA3203" w:rsidRPr="00816CA4">
        <w:rPr>
          <w:rFonts w:ascii="Georgia" w:hAnsi="Georgia"/>
          <w:sz w:val="24"/>
          <w:szCs w:val="24"/>
        </w:rPr>
        <w:t xml:space="preserve"> </w:t>
      </w:r>
      <w:r w:rsidR="00E4282A" w:rsidRPr="00816CA4">
        <w:rPr>
          <w:rFonts w:ascii="Georgia" w:hAnsi="Georgia"/>
          <w:sz w:val="24"/>
          <w:szCs w:val="24"/>
        </w:rPr>
        <w:t>u okvir</w:t>
      </w:r>
      <w:r w:rsidR="00FA6510" w:rsidRPr="00816CA4">
        <w:rPr>
          <w:rFonts w:ascii="Georgia" w:hAnsi="Georgia"/>
          <w:sz w:val="24"/>
          <w:szCs w:val="24"/>
        </w:rPr>
        <w:t>u ovog projekta u pravilu odnose</w:t>
      </w:r>
      <w:r w:rsidR="00E4282A" w:rsidRPr="00816CA4">
        <w:rPr>
          <w:rFonts w:ascii="Georgia" w:hAnsi="Georgia"/>
          <w:sz w:val="24"/>
          <w:szCs w:val="24"/>
        </w:rPr>
        <w:t xml:space="preserve"> na </w:t>
      </w:r>
      <w:r w:rsidR="00FA6510" w:rsidRPr="00816CA4">
        <w:rPr>
          <w:rFonts w:ascii="Georgia" w:hAnsi="Georgia"/>
          <w:sz w:val="24"/>
          <w:szCs w:val="24"/>
        </w:rPr>
        <w:t xml:space="preserve">sve potrošače konkretne grupe </w:t>
      </w:r>
      <w:r w:rsidR="00E4282A" w:rsidRPr="00816CA4">
        <w:rPr>
          <w:rFonts w:ascii="Georgia" w:hAnsi="Georgia"/>
          <w:sz w:val="24"/>
          <w:szCs w:val="24"/>
        </w:rPr>
        <w:t>(npr. građani članovi istog kućnog savjeta, klijenti određene banke ili telekom operatera i sl.)</w:t>
      </w:r>
      <w:r w:rsidR="00FA6510" w:rsidRPr="00816CA4">
        <w:rPr>
          <w:rFonts w:ascii="Georgia" w:hAnsi="Georgia"/>
          <w:sz w:val="24"/>
          <w:szCs w:val="24"/>
        </w:rPr>
        <w:t>.</w:t>
      </w:r>
    </w:p>
    <w:p w:rsidR="002F7D37" w:rsidRPr="002F7D37" w:rsidRDefault="002F7D37" w:rsidP="002F7D37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  <w:szCs w:val="24"/>
        </w:rPr>
      </w:pPr>
      <w:r w:rsidRPr="002F7D37">
        <w:rPr>
          <w:rFonts w:ascii="Georgia" w:hAnsi="Georgia"/>
          <w:sz w:val="24"/>
          <w:szCs w:val="24"/>
        </w:rPr>
        <w:t>Promjena ponašanja prekršitelja, inzistiranje na kvalit</w:t>
      </w:r>
      <w:r>
        <w:rPr>
          <w:rFonts w:ascii="Georgia" w:hAnsi="Georgia"/>
          <w:sz w:val="24"/>
          <w:szCs w:val="24"/>
        </w:rPr>
        <w:t xml:space="preserve">etnom i efikasnom nadzoru, te u </w:t>
      </w:r>
      <w:r w:rsidRPr="002F7D37">
        <w:rPr>
          <w:rFonts w:ascii="Georgia" w:hAnsi="Georgia"/>
          <w:sz w:val="24"/>
          <w:szCs w:val="24"/>
        </w:rPr>
        <w:t xml:space="preserve">konačnici mijenjanje </w:t>
      </w:r>
      <w:r>
        <w:rPr>
          <w:rFonts w:ascii="Georgia" w:hAnsi="Georgia"/>
          <w:sz w:val="24"/>
          <w:szCs w:val="24"/>
        </w:rPr>
        <w:t xml:space="preserve">svijesti svih sudionika i samih </w:t>
      </w:r>
      <w:r w:rsidRPr="002F7D37">
        <w:rPr>
          <w:rFonts w:ascii="Georgia" w:hAnsi="Georgia"/>
          <w:sz w:val="24"/>
          <w:szCs w:val="24"/>
        </w:rPr>
        <w:t>potrošača imaju pozitivan učinak na stanje u oblasti</w:t>
      </w:r>
      <w:r>
        <w:rPr>
          <w:rFonts w:ascii="Georgia" w:hAnsi="Georgia"/>
          <w:sz w:val="24"/>
          <w:szCs w:val="24"/>
        </w:rPr>
        <w:t xml:space="preserve"> </w:t>
      </w:r>
      <w:r w:rsidRPr="002F7D37">
        <w:rPr>
          <w:rFonts w:ascii="Georgia" w:hAnsi="Georgia"/>
          <w:sz w:val="24"/>
          <w:szCs w:val="24"/>
        </w:rPr>
        <w:t>zaštite samih potrošača i jačanje njihovog položaja</w:t>
      </w:r>
      <w:r>
        <w:rPr>
          <w:rFonts w:ascii="Georgia" w:hAnsi="Georgia"/>
          <w:sz w:val="24"/>
          <w:szCs w:val="24"/>
        </w:rPr>
        <w:t xml:space="preserve"> na tržištu</w:t>
      </w:r>
      <w:r w:rsidRPr="002F7D3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2F7D37">
        <w:rPr>
          <w:rFonts w:ascii="Georgia" w:hAnsi="Georgia"/>
          <w:sz w:val="24"/>
          <w:szCs w:val="24"/>
        </w:rPr>
        <w:t xml:space="preserve">Podnošenjem inicijativa i davanjem konkretnih prijedloga s ciljem </w:t>
      </w:r>
      <w:r w:rsidR="00FA6510">
        <w:rPr>
          <w:rFonts w:ascii="Georgia" w:hAnsi="Georgia"/>
          <w:sz w:val="24"/>
          <w:szCs w:val="24"/>
        </w:rPr>
        <w:t xml:space="preserve">unaprjeđenja sustava zaštite </w:t>
      </w:r>
      <w:r w:rsidRPr="002F7D37">
        <w:rPr>
          <w:rFonts w:ascii="Georgia" w:hAnsi="Georgia"/>
          <w:sz w:val="24"/>
          <w:szCs w:val="24"/>
        </w:rPr>
        <w:t xml:space="preserve">potrošača i </w:t>
      </w:r>
      <w:r w:rsidR="00FA6510" w:rsidRPr="002F7D37">
        <w:rPr>
          <w:rFonts w:ascii="Georgia" w:hAnsi="Georgia"/>
          <w:sz w:val="24"/>
          <w:szCs w:val="24"/>
        </w:rPr>
        <w:t>kvalitetnije</w:t>
      </w:r>
      <w:r w:rsidRPr="002F7D37">
        <w:rPr>
          <w:rFonts w:ascii="Georgia" w:hAnsi="Georgia"/>
          <w:sz w:val="24"/>
          <w:szCs w:val="24"/>
        </w:rPr>
        <w:t xml:space="preserve"> zaštite njihovih interesa općenito, kontinuirano</w:t>
      </w:r>
      <w:r>
        <w:rPr>
          <w:rFonts w:ascii="Georgia" w:hAnsi="Georgia"/>
          <w:sz w:val="24"/>
          <w:szCs w:val="24"/>
        </w:rPr>
        <w:t xml:space="preserve"> podižemo kvalitetu življenja i </w:t>
      </w:r>
      <w:r w:rsidRPr="002F7D37">
        <w:rPr>
          <w:rFonts w:ascii="Georgia" w:hAnsi="Georgia"/>
          <w:sz w:val="24"/>
          <w:szCs w:val="24"/>
        </w:rPr>
        <w:t>ekonomsku dobrobit za potrošače u BiH.</w:t>
      </w:r>
    </w:p>
    <w:p w:rsidR="002F7D37" w:rsidRDefault="002F7D37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Tahoma"/>
          <w:sz w:val="24"/>
          <w:szCs w:val="24"/>
        </w:rPr>
      </w:pPr>
    </w:p>
    <w:p w:rsidR="00450231" w:rsidRDefault="0045023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Tahoma"/>
          <w:sz w:val="24"/>
          <w:szCs w:val="24"/>
        </w:rPr>
      </w:pPr>
    </w:p>
    <w:p w:rsidR="00450231" w:rsidRPr="00450231" w:rsidRDefault="0045023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Tahoma"/>
          <w:sz w:val="24"/>
          <w:szCs w:val="24"/>
        </w:rPr>
      </w:pPr>
      <w:r w:rsidRPr="00450231">
        <w:rPr>
          <w:rFonts w:ascii="Georgia" w:hAnsi="Georgia" w:cs="Tahoma"/>
          <w:b/>
          <w:sz w:val="24"/>
          <w:szCs w:val="24"/>
        </w:rPr>
        <w:t>Mandat</w:t>
      </w:r>
      <w:r w:rsidRPr="00450231">
        <w:rPr>
          <w:rFonts w:ascii="Georgia" w:hAnsi="Georgia" w:cs="Tahoma"/>
          <w:sz w:val="24"/>
          <w:szCs w:val="24"/>
        </w:rPr>
        <w:t xml:space="preserve"> Institucije ombudsmana jest:</w:t>
      </w:r>
    </w:p>
    <w:p w:rsidR="00450231" w:rsidRPr="00450231" w:rsidRDefault="0045023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</w:rPr>
      </w:pPr>
      <w:r w:rsidRPr="00450231">
        <w:rPr>
          <w:rFonts w:ascii="Georgia" w:hAnsi="Georgia"/>
          <w:sz w:val="24"/>
        </w:rPr>
        <w:t>Promoviranje dobrog i efikasnog provođenja politike zaštite potrošača kroz poduzimanje pojedinačnih i kolektivnih, reaktivnih i preventivnih mjera te kroz institucionalnu suradnju s ostalim nositeljima zaštite potrošača.</w:t>
      </w:r>
    </w:p>
    <w:p w:rsidR="00450231" w:rsidRDefault="0045023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</w:rPr>
      </w:pPr>
    </w:p>
    <w:p w:rsidR="00D75DF5" w:rsidRPr="00450231" w:rsidRDefault="00D75DF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</w:rPr>
      </w:pPr>
    </w:p>
    <w:p w:rsidR="00450231" w:rsidRDefault="0045023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</w:rPr>
      </w:pPr>
      <w:r w:rsidRPr="00450231">
        <w:rPr>
          <w:rFonts w:ascii="Georgia" w:hAnsi="Georgia"/>
          <w:b/>
          <w:sz w:val="24"/>
        </w:rPr>
        <w:t>Vizija</w:t>
      </w:r>
      <w:r w:rsidRPr="00450231">
        <w:rPr>
          <w:rFonts w:ascii="Georgia" w:hAnsi="Georgia"/>
          <w:sz w:val="24"/>
        </w:rPr>
        <w:t xml:space="preserve"> Institucije ombudsmana jest:</w:t>
      </w:r>
    </w:p>
    <w:p w:rsidR="00D75DF5" w:rsidRPr="00D75DF5" w:rsidRDefault="00D75DF5" w:rsidP="00D75DF5">
      <w:pPr>
        <w:ind w:firstLine="0"/>
        <w:rPr>
          <w:rFonts w:ascii="Georgia" w:hAnsi="Georgia"/>
          <w:sz w:val="24"/>
          <w:szCs w:val="24"/>
        </w:rPr>
      </w:pPr>
      <w:r w:rsidRPr="00D75DF5">
        <w:rPr>
          <w:rFonts w:ascii="Georgia" w:hAnsi="Georgia"/>
          <w:sz w:val="24"/>
          <w:szCs w:val="24"/>
        </w:rPr>
        <w:t>relaksirani i otvoreni tržišni ambijent nastao uslijed ostvarivanja potrošačkog prava na pristup pravdi.</w:t>
      </w:r>
    </w:p>
    <w:p w:rsidR="00D75DF5" w:rsidRPr="00450231" w:rsidRDefault="00D75DF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</w:rPr>
      </w:pPr>
    </w:p>
    <w:p w:rsidR="00450231" w:rsidRPr="00450231" w:rsidRDefault="0045023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</w:rPr>
      </w:pPr>
      <w:r w:rsidRPr="00450231">
        <w:rPr>
          <w:rFonts w:ascii="Georgia" w:hAnsi="Georgia"/>
          <w:b/>
          <w:sz w:val="24"/>
        </w:rPr>
        <w:t>Misija</w:t>
      </w:r>
      <w:r w:rsidRPr="00450231">
        <w:rPr>
          <w:rFonts w:ascii="Georgia" w:hAnsi="Georgia"/>
          <w:sz w:val="24"/>
        </w:rPr>
        <w:t xml:space="preserve"> Institucije ombudsmana jest:</w:t>
      </w:r>
    </w:p>
    <w:p w:rsidR="00450231" w:rsidRDefault="0045023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Arial"/>
          <w:sz w:val="24"/>
          <w:szCs w:val="24"/>
          <w:lang w:eastAsia="hr-HR"/>
        </w:rPr>
      </w:pPr>
      <w:r w:rsidRPr="00450231">
        <w:rPr>
          <w:rFonts w:ascii="Georgia" w:hAnsi="Georgia" w:cs="Arial"/>
          <w:sz w:val="24"/>
          <w:szCs w:val="24"/>
          <w:lang w:eastAsia="hr-HR"/>
        </w:rPr>
        <w:t>neovisan rad na zaštiti i promicanju  temeljnih prava potrošača, pri čemu su kolektivne inicijative promjene legislative i postojećih praksa utemeljene na pojedinačnim pritužbama potrošača i praćenju općih  pojava te na rezultatima suradnje s različitim domaćim i međunarodnim sudionicima.</w:t>
      </w:r>
    </w:p>
    <w:p w:rsidR="00FA6510" w:rsidRDefault="00FA6510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Arial"/>
          <w:sz w:val="24"/>
          <w:szCs w:val="24"/>
          <w:lang w:eastAsia="hr-HR"/>
        </w:rPr>
      </w:pPr>
    </w:p>
    <w:p w:rsidR="00FA6510" w:rsidRDefault="00FA6510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Arial"/>
          <w:sz w:val="24"/>
          <w:szCs w:val="24"/>
          <w:lang w:eastAsia="hr-HR"/>
        </w:rPr>
      </w:pPr>
    </w:p>
    <w:p w:rsidR="00FA6510" w:rsidRPr="00450231" w:rsidRDefault="00FA6510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Arial"/>
          <w:sz w:val="24"/>
          <w:szCs w:val="24"/>
          <w:lang w:eastAsia="hr-HR"/>
        </w:rPr>
      </w:pPr>
    </w:p>
    <w:p w:rsidR="00450231" w:rsidRDefault="0045023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D75DF5" w:rsidRDefault="00D75DF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b/>
          <w:sz w:val="28"/>
          <w:szCs w:val="28"/>
        </w:rPr>
      </w:pPr>
      <w:r w:rsidRPr="00A2623C">
        <w:rPr>
          <w:rFonts w:ascii="Georgia" w:hAnsi="Georgia" w:cs="Calibri"/>
          <w:b/>
          <w:sz w:val="28"/>
          <w:szCs w:val="28"/>
        </w:rPr>
        <w:lastRenderedPageBreak/>
        <w:t>Poglavlje 3: Učesnici i partneri</w:t>
      </w:r>
    </w:p>
    <w:p w:rsidR="00144D5A" w:rsidRDefault="00144D5A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b/>
          <w:sz w:val="28"/>
          <w:szCs w:val="28"/>
        </w:rPr>
      </w:pPr>
    </w:p>
    <w:p w:rsidR="00144D5A" w:rsidRPr="00324241" w:rsidRDefault="00144D5A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sz w:val="24"/>
          <w:szCs w:val="24"/>
        </w:rPr>
      </w:pPr>
      <w:r w:rsidRPr="00324241">
        <w:rPr>
          <w:rFonts w:ascii="Georgia" w:hAnsi="Georgia" w:cs="Calibri"/>
          <w:sz w:val="24"/>
          <w:szCs w:val="24"/>
        </w:rPr>
        <w:t xml:space="preserve">Institucija ombudsmana kao </w:t>
      </w:r>
      <w:r w:rsidR="00324241" w:rsidRPr="00324241">
        <w:rPr>
          <w:rFonts w:ascii="Georgia" w:hAnsi="Georgia" w:cs="Calibri"/>
          <w:sz w:val="24"/>
          <w:szCs w:val="24"/>
        </w:rPr>
        <w:t xml:space="preserve">neovina institucija, a sukladno Zakonu, </w:t>
      </w:r>
      <w:r w:rsidR="00324241" w:rsidRPr="00324241">
        <w:rPr>
          <w:rFonts w:ascii="Georgia" w:hAnsi="Georgia"/>
          <w:sz w:val="24"/>
          <w:szCs w:val="24"/>
        </w:rPr>
        <w:t xml:space="preserve">u svom radu surađuje s državnim, entitetskim i institucijama Brčko Distrikta BiH nadležnim </w:t>
      </w:r>
      <w:r w:rsidR="00324241">
        <w:rPr>
          <w:rFonts w:ascii="Georgia" w:hAnsi="Georgia"/>
          <w:sz w:val="24"/>
          <w:szCs w:val="24"/>
        </w:rPr>
        <w:t xml:space="preserve">za </w:t>
      </w:r>
      <w:r w:rsidR="00324241" w:rsidRPr="00324241">
        <w:rPr>
          <w:rFonts w:ascii="Georgia" w:hAnsi="Georgia"/>
          <w:sz w:val="24"/>
          <w:szCs w:val="24"/>
        </w:rPr>
        <w:t>zaštitu potrošača (nositelji zaštite potrošača), i to:</w:t>
      </w:r>
    </w:p>
    <w:p w:rsidR="00324241" w:rsidRPr="00324241" w:rsidRDefault="0032424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144D5A" w:rsidRPr="00324241" w:rsidRDefault="00144D5A" w:rsidP="00144D5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 w:cs="TimesNewRomanPSMT"/>
          <w:color w:val="0D0D0D"/>
          <w:sz w:val="24"/>
          <w:szCs w:val="24"/>
        </w:rPr>
      </w:pPr>
      <w:r w:rsidRPr="00324241">
        <w:rPr>
          <w:rFonts w:ascii="Georgia" w:hAnsi="Georgia" w:cs="TimesNewRomanPSMT"/>
          <w:color w:val="0D0D0D"/>
          <w:sz w:val="24"/>
          <w:szCs w:val="24"/>
        </w:rPr>
        <w:t>a) Ministarstvo vanjske trgovine i ekonomskih odnosa BiH</w:t>
      </w:r>
      <w:r w:rsidR="00324241">
        <w:rPr>
          <w:rFonts w:ascii="Georgia" w:hAnsi="Georgia" w:cs="TimesNewRomanPSMT"/>
          <w:color w:val="0D0D0D"/>
          <w:sz w:val="24"/>
          <w:szCs w:val="24"/>
        </w:rPr>
        <w:t xml:space="preserve">; </w:t>
      </w:r>
    </w:p>
    <w:p w:rsidR="00144D5A" w:rsidRPr="00324241" w:rsidRDefault="00324241" w:rsidP="00144D5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 w:cs="TimesNewRomanPSMT"/>
          <w:color w:val="0D0D0D"/>
          <w:sz w:val="24"/>
          <w:szCs w:val="24"/>
        </w:rPr>
      </w:pPr>
      <w:r>
        <w:rPr>
          <w:rFonts w:ascii="Georgia" w:hAnsi="Georgia" w:cs="TimesNewRomanPSMT"/>
          <w:color w:val="0D0D0D"/>
          <w:sz w:val="24"/>
          <w:szCs w:val="24"/>
        </w:rPr>
        <w:t>b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) Vije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ć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e za za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š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titu potro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š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a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č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a BiH;</w:t>
      </w:r>
    </w:p>
    <w:p w:rsidR="00144D5A" w:rsidRPr="00324241" w:rsidRDefault="00324241" w:rsidP="00144D5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 w:cs="TimesNewRomanPSMT"/>
          <w:color w:val="0D0D0D"/>
          <w:sz w:val="24"/>
          <w:szCs w:val="24"/>
        </w:rPr>
      </w:pPr>
      <w:r>
        <w:rPr>
          <w:rFonts w:ascii="Georgia" w:hAnsi="Georgia" w:cs="TimesNewRomanPSMT"/>
          <w:color w:val="0D0D0D"/>
          <w:sz w:val="24"/>
          <w:szCs w:val="24"/>
        </w:rPr>
        <w:t>c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) Konkurencijsko vije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ć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e BiH;</w:t>
      </w:r>
    </w:p>
    <w:p w:rsidR="00144D5A" w:rsidRPr="00324241" w:rsidRDefault="00324241" w:rsidP="00144D5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 w:cs="TimesNewRomanPSMT"/>
          <w:color w:val="0D0D0D"/>
          <w:sz w:val="24"/>
          <w:szCs w:val="24"/>
        </w:rPr>
      </w:pPr>
      <w:r>
        <w:rPr>
          <w:rFonts w:ascii="Georgia" w:hAnsi="Georgia" w:cs="TimesNewRomanPSMT"/>
          <w:color w:val="0D0D0D"/>
          <w:sz w:val="24"/>
          <w:szCs w:val="24"/>
        </w:rPr>
        <w:t>d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) Nadle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ž</w:t>
      </w:r>
      <w:r>
        <w:rPr>
          <w:rFonts w:ascii="Georgia" w:hAnsi="Georgia" w:cs="TimesNewRomanPSMT"/>
          <w:color w:val="0D0D0D"/>
          <w:sz w:val="24"/>
          <w:szCs w:val="24"/>
        </w:rPr>
        <w:t>na entitetska i tijela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 xml:space="preserve"> Br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č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ko Distrikta BiH;</w:t>
      </w:r>
    </w:p>
    <w:p w:rsidR="00144D5A" w:rsidRPr="00324241" w:rsidRDefault="00324241" w:rsidP="0032424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 w:cs="TimesNewRomanPSMT"/>
          <w:color w:val="0D0D0D"/>
          <w:sz w:val="24"/>
          <w:szCs w:val="24"/>
        </w:rPr>
      </w:pPr>
      <w:r>
        <w:rPr>
          <w:rFonts w:ascii="Georgia" w:hAnsi="Georgia" w:cs="TimesNewRomanPSMT"/>
          <w:color w:val="0D0D0D"/>
          <w:sz w:val="24"/>
          <w:szCs w:val="24"/>
        </w:rPr>
        <w:t>e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) Ured za konkurenciju i za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š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titu potro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š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a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č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a u Federaciji</w:t>
      </w:r>
      <w:r>
        <w:rPr>
          <w:rFonts w:ascii="Georgia" w:hAnsi="Georgia" w:cs="TimesNewRomanPSMT"/>
          <w:color w:val="0D0D0D"/>
          <w:sz w:val="24"/>
          <w:szCs w:val="24"/>
        </w:rPr>
        <w:t xml:space="preserve"> BiH i Republici Srpskoj;</w:t>
      </w:r>
    </w:p>
    <w:p w:rsidR="00144D5A" w:rsidRPr="00324241" w:rsidRDefault="00324241" w:rsidP="00144D5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 w:cs="TimesNewRomanPSMT"/>
          <w:color w:val="0D0D0D"/>
          <w:sz w:val="24"/>
          <w:szCs w:val="24"/>
        </w:rPr>
      </w:pPr>
      <w:r>
        <w:rPr>
          <w:rFonts w:ascii="Georgia" w:hAnsi="Georgia" w:cs="TimesNewRomanPSMT"/>
          <w:color w:val="0D0D0D"/>
          <w:sz w:val="24"/>
          <w:szCs w:val="24"/>
        </w:rPr>
        <w:t>f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) udru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 xml:space="preserve">ge 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potro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š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a</w:t>
      </w:r>
      <w:r w:rsidR="00144D5A" w:rsidRPr="00324241">
        <w:rPr>
          <w:rFonts w:ascii="Georgia" w:hAnsi="Georgia" w:cs="TimesNewRomanPSMT"/>
          <w:color w:val="000000"/>
          <w:sz w:val="24"/>
          <w:szCs w:val="24"/>
        </w:rPr>
        <w:t>č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a;</w:t>
      </w:r>
    </w:p>
    <w:p w:rsidR="00144D5A" w:rsidRPr="00324241" w:rsidRDefault="00324241" w:rsidP="00144D5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 w:cs="TimesNewRomanPSMT"/>
          <w:color w:val="0D0D0D"/>
          <w:sz w:val="24"/>
          <w:szCs w:val="24"/>
        </w:rPr>
      </w:pPr>
      <w:r>
        <w:rPr>
          <w:rFonts w:ascii="Georgia" w:hAnsi="Georgia" w:cs="TimesNewRomanPSMT"/>
          <w:color w:val="0D0D0D"/>
          <w:sz w:val="24"/>
          <w:szCs w:val="24"/>
        </w:rPr>
        <w:t>g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) obrazovne institucije i mediji;</w:t>
      </w:r>
    </w:p>
    <w:p w:rsidR="00D75DF5" w:rsidRPr="00324241" w:rsidRDefault="00324241" w:rsidP="00144D5A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TimesNewRomanPSMT"/>
          <w:color w:val="0D0D0D"/>
          <w:sz w:val="24"/>
          <w:szCs w:val="24"/>
        </w:rPr>
      </w:pPr>
      <w:r>
        <w:rPr>
          <w:rFonts w:ascii="Georgia" w:hAnsi="Georgia" w:cs="TimesNewRomanPSMT"/>
          <w:color w:val="0D0D0D"/>
          <w:sz w:val="24"/>
          <w:szCs w:val="24"/>
        </w:rPr>
        <w:t>h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) inspekcijska i druga tijela sklad</w:t>
      </w:r>
      <w:r>
        <w:rPr>
          <w:rFonts w:ascii="Georgia" w:hAnsi="Georgia" w:cs="TimesNewRomanPSMT"/>
          <w:color w:val="0D0D0D"/>
          <w:sz w:val="24"/>
          <w:szCs w:val="24"/>
        </w:rPr>
        <w:t>no Z</w:t>
      </w:r>
      <w:r w:rsidR="00144D5A" w:rsidRPr="00324241">
        <w:rPr>
          <w:rFonts w:ascii="Georgia" w:hAnsi="Georgia" w:cs="TimesNewRomanPSMT"/>
          <w:color w:val="0D0D0D"/>
          <w:sz w:val="24"/>
          <w:szCs w:val="24"/>
        </w:rPr>
        <w:t>akonu.</w:t>
      </w:r>
    </w:p>
    <w:p w:rsidR="00324241" w:rsidRDefault="00324241" w:rsidP="00144D5A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324241" w:rsidRDefault="00324241" w:rsidP="00144D5A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324241" w:rsidRPr="00144D5A" w:rsidRDefault="00324241" w:rsidP="00144D5A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D75DF5" w:rsidRPr="00A2623C" w:rsidRDefault="00D75DF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b/>
          <w:sz w:val="28"/>
          <w:szCs w:val="28"/>
        </w:rPr>
      </w:pPr>
      <w:r w:rsidRPr="00A2623C">
        <w:rPr>
          <w:rFonts w:ascii="Georgia" w:hAnsi="Georgia" w:cs="Calibri"/>
          <w:b/>
          <w:sz w:val="28"/>
          <w:szCs w:val="28"/>
        </w:rPr>
        <w:t>Poglavlje 4: Osnovna programska opredjeljenja</w:t>
      </w:r>
    </w:p>
    <w:p w:rsidR="00D75DF5" w:rsidRDefault="00D75DF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085EDD" w:rsidRDefault="00E77F09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Arial"/>
          <w:b/>
          <w:sz w:val="24"/>
          <w:szCs w:val="18"/>
        </w:rPr>
      </w:pPr>
      <w:r>
        <w:rPr>
          <w:rFonts w:ascii="Georgia" w:hAnsi="Georgia" w:cs="Calibri"/>
          <w:b/>
          <w:sz w:val="24"/>
          <w:szCs w:val="24"/>
        </w:rPr>
        <w:t>Srednjoro</w:t>
      </w:r>
      <w:r w:rsidR="00D75DF5" w:rsidRPr="00D75DF5">
        <w:rPr>
          <w:rFonts w:ascii="Georgia" w:hAnsi="Georgia" w:cs="Calibri"/>
          <w:b/>
          <w:sz w:val="24"/>
          <w:szCs w:val="24"/>
        </w:rPr>
        <w:t>čni cilj</w:t>
      </w:r>
      <w:r w:rsidR="00D75DF5">
        <w:rPr>
          <w:rFonts w:ascii="Georgia" w:hAnsi="Georgia" w:cs="Calibri"/>
          <w:sz w:val="24"/>
          <w:szCs w:val="24"/>
        </w:rPr>
        <w:t xml:space="preserve"> Institucije ombudsm</w:t>
      </w:r>
      <w:r w:rsidR="00324241">
        <w:rPr>
          <w:rFonts w:ascii="Georgia" w:hAnsi="Georgia" w:cs="Calibri"/>
          <w:sz w:val="24"/>
          <w:szCs w:val="24"/>
        </w:rPr>
        <w:t xml:space="preserve">ana jest </w:t>
      </w:r>
      <w:r>
        <w:rPr>
          <w:rFonts w:ascii="Georgia" w:hAnsi="Georgia" w:cs="Arial"/>
          <w:b/>
          <w:sz w:val="24"/>
          <w:szCs w:val="18"/>
        </w:rPr>
        <w:t>unaprj</w:t>
      </w:r>
      <w:r w:rsidR="004359B2">
        <w:rPr>
          <w:rFonts w:ascii="Georgia" w:hAnsi="Georgia" w:cs="Arial"/>
          <w:b/>
          <w:sz w:val="24"/>
          <w:szCs w:val="18"/>
        </w:rPr>
        <w:t>e</w:t>
      </w:r>
      <w:r>
        <w:rPr>
          <w:rFonts w:ascii="Georgia" w:hAnsi="Georgia" w:cs="Arial"/>
          <w:b/>
          <w:sz w:val="24"/>
          <w:szCs w:val="18"/>
        </w:rPr>
        <w:t>đe</w:t>
      </w:r>
      <w:r w:rsidR="004359B2">
        <w:rPr>
          <w:rFonts w:ascii="Georgia" w:hAnsi="Georgia" w:cs="Arial"/>
          <w:b/>
          <w:sz w:val="24"/>
          <w:szCs w:val="18"/>
        </w:rPr>
        <w:t>nje</w:t>
      </w:r>
      <w:r>
        <w:rPr>
          <w:rFonts w:ascii="Georgia" w:hAnsi="Georgia" w:cs="Arial"/>
          <w:b/>
          <w:sz w:val="24"/>
          <w:szCs w:val="18"/>
        </w:rPr>
        <w:t xml:space="preserve"> zaštite</w:t>
      </w:r>
      <w:r w:rsidR="00325141" w:rsidRPr="00325141">
        <w:rPr>
          <w:rFonts w:ascii="Georgia" w:hAnsi="Georgia" w:cs="Arial"/>
          <w:b/>
          <w:sz w:val="24"/>
          <w:szCs w:val="18"/>
        </w:rPr>
        <w:t xml:space="preserve"> potrošača.</w:t>
      </w:r>
      <w:r w:rsidR="00325141">
        <w:rPr>
          <w:rFonts w:ascii="Georgia" w:hAnsi="Georgia" w:cs="Arial"/>
          <w:b/>
          <w:sz w:val="24"/>
          <w:szCs w:val="18"/>
        </w:rPr>
        <w:t xml:space="preserve">  </w:t>
      </w:r>
    </w:p>
    <w:p w:rsidR="00325141" w:rsidRDefault="0032514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085EDD" w:rsidRDefault="00085EDD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085EDD" w:rsidRPr="0096525A" w:rsidRDefault="00085EDD" w:rsidP="00325141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U skladu sa gore navededenim, </w:t>
      </w:r>
      <w:r w:rsidRPr="006002E0">
        <w:rPr>
          <w:rFonts w:ascii="Georgia" w:hAnsi="Georgia" w:cs="Calibri"/>
          <w:b/>
          <w:sz w:val="24"/>
          <w:szCs w:val="24"/>
        </w:rPr>
        <w:t>specifični cilj</w:t>
      </w:r>
      <w:r w:rsidR="00325141">
        <w:rPr>
          <w:rFonts w:ascii="Georgia" w:hAnsi="Georgia" w:cs="Calibri"/>
          <w:sz w:val="24"/>
          <w:szCs w:val="24"/>
        </w:rPr>
        <w:t xml:space="preserve"> Institucije ombudsmana jest</w:t>
      </w:r>
      <w:r w:rsidR="00325141" w:rsidRPr="00325141">
        <w:rPr>
          <w:rFonts w:ascii="Georgia" w:hAnsi="Georgia" w:cs="Arial"/>
          <w:b/>
          <w:sz w:val="18"/>
          <w:szCs w:val="18"/>
        </w:rPr>
        <w:t xml:space="preserve"> </w:t>
      </w:r>
      <w:r w:rsidR="00A2623C" w:rsidRPr="00A2623C">
        <w:rPr>
          <w:rFonts w:ascii="Georgia" w:hAnsi="Georgia" w:cs="Arial"/>
          <w:b/>
          <w:sz w:val="24"/>
          <w:szCs w:val="24"/>
        </w:rPr>
        <w:t>u</w:t>
      </w:r>
      <w:r w:rsidRPr="00A2623C">
        <w:rPr>
          <w:rFonts w:ascii="Georgia" w:hAnsi="Georgia" w:cs="Arial"/>
          <w:b/>
          <w:sz w:val="24"/>
          <w:szCs w:val="24"/>
        </w:rPr>
        <w:t>naprijeđenje pojedinačne i kolektivne zaštite potrošača i institucionalne</w:t>
      </w:r>
      <w:r w:rsidRPr="00A2623C">
        <w:rPr>
          <w:rFonts w:ascii="Georgia" w:hAnsi="Georgia"/>
          <w:b/>
          <w:sz w:val="24"/>
          <w:szCs w:val="24"/>
        </w:rPr>
        <w:t xml:space="preserve"> suradnje s ostalim nositeljima zaštite potrošača</w:t>
      </w:r>
      <w:r w:rsidR="0015567B">
        <w:rPr>
          <w:rFonts w:ascii="Georgia" w:hAnsi="Georgia"/>
          <w:sz w:val="24"/>
          <w:szCs w:val="24"/>
        </w:rPr>
        <w:t xml:space="preserve"> te isti </w:t>
      </w:r>
      <w:r w:rsidR="006002E0" w:rsidRPr="006002E0">
        <w:rPr>
          <w:rFonts w:ascii="Georgia" w:hAnsi="Georgia"/>
          <w:sz w:val="24"/>
          <w:szCs w:val="24"/>
        </w:rPr>
        <w:t xml:space="preserve">obuhvaća jedan Program </w:t>
      </w:r>
      <w:r w:rsidR="00325141">
        <w:rPr>
          <w:rFonts w:ascii="Georgia" w:hAnsi="Georgia"/>
          <w:sz w:val="24"/>
          <w:szCs w:val="24"/>
        </w:rPr>
        <w:t xml:space="preserve">(Zaštita potrošača u Bosni i Hercegovini) </w:t>
      </w:r>
      <w:r w:rsidR="006002E0" w:rsidRPr="006002E0">
        <w:rPr>
          <w:rFonts w:ascii="Georgia" w:hAnsi="Georgia"/>
          <w:sz w:val="24"/>
          <w:szCs w:val="24"/>
        </w:rPr>
        <w:t xml:space="preserve">i realizira se kroz dva </w:t>
      </w:r>
      <w:r w:rsidRPr="006002E0">
        <w:rPr>
          <w:rFonts w:ascii="Georgia" w:hAnsi="Georgia"/>
          <w:sz w:val="24"/>
          <w:szCs w:val="24"/>
        </w:rPr>
        <w:t>Projekta:</w:t>
      </w:r>
    </w:p>
    <w:p w:rsidR="00085EDD" w:rsidRDefault="00085EDD" w:rsidP="00697775">
      <w:pPr>
        <w:autoSpaceDE w:val="0"/>
        <w:autoSpaceDN w:val="0"/>
        <w:adjustRightInd w:val="0"/>
        <w:spacing w:line="276" w:lineRule="auto"/>
        <w:ind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6777"/>
      </w:tblGrid>
      <w:tr w:rsidR="00085EDD" w:rsidRPr="006002E0" w:rsidTr="006002E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85EDD" w:rsidRPr="006002E0" w:rsidRDefault="00085EDD" w:rsidP="00D21821">
            <w:pPr>
              <w:jc w:val="center"/>
              <w:rPr>
                <w:rFonts w:ascii="Georgia" w:hAnsi="Georgia" w:cs="Arial"/>
                <w:b/>
              </w:rPr>
            </w:pPr>
          </w:p>
          <w:p w:rsidR="00085EDD" w:rsidRPr="006002E0" w:rsidRDefault="00085EDD" w:rsidP="00D21821">
            <w:pPr>
              <w:jc w:val="center"/>
              <w:rPr>
                <w:rFonts w:ascii="Georgia" w:hAnsi="Georgia"/>
                <w:b/>
              </w:rPr>
            </w:pPr>
            <w:r w:rsidRPr="006002E0">
              <w:rPr>
                <w:rFonts w:ascii="Georgia" w:hAnsi="Georgia" w:cs="Arial"/>
                <w:b/>
              </w:rPr>
              <w:t>Specifični cilj 1</w:t>
            </w:r>
            <w:r w:rsidR="007826CF">
              <w:rPr>
                <w:rFonts w:ascii="Georgia" w:hAnsi="Georgia" w:cs="Arial"/>
                <w:b/>
              </w:rPr>
              <w:t>.1</w:t>
            </w:r>
            <w:r w:rsidRPr="006002E0">
              <w:rPr>
                <w:rFonts w:ascii="Georgia" w:hAnsi="Georgia" w:cs="Arial"/>
                <w:b/>
              </w:rPr>
              <w:t>:</w:t>
            </w:r>
            <w:r w:rsidRPr="006002E0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Pr="006002E0">
              <w:rPr>
                <w:rFonts w:ascii="Georgia" w:hAnsi="Georgia" w:cs="Arial"/>
                <w:b/>
              </w:rPr>
              <w:t>Unaprijeđenje pojedinačne i kolektivne zaštite potrošača i institucionalne</w:t>
            </w:r>
            <w:r w:rsidRPr="006002E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6002E0">
              <w:rPr>
                <w:rFonts w:ascii="Georgia" w:hAnsi="Georgia"/>
                <w:b/>
              </w:rPr>
              <w:t xml:space="preserve">suradnje s ostalim nositeljima zaštite potrošača </w:t>
            </w:r>
          </w:p>
          <w:p w:rsidR="00085EDD" w:rsidRPr="006002E0" w:rsidRDefault="00085EDD" w:rsidP="00D2182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085EDD" w:rsidRPr="006002E0" w:rsidTr="006002E0">
        <w:tc>
          <w:tcPr>
            <w:tcW w:w="1352" w:type="pct"/>
            <w:shd w:val="clear" w:color="auto" w:fill="FBD4B4"/>
            <w:vAlign w:val="center"/>
          </w:tcPr>
          <w:p w:rsidR="006002E0" w:rsidRDefault="006002E0" w:rsidP="00D2182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P 1.1.</w:t>
            </w:r>
            <w:r w:rsidR="007826CF">
              <w:rPr>
                <w:rFonts w:ascii="Georgia" w:hAnsi="Georgia" w:cs="Arial"/>
                <w:sz w:val="18"/>
                <w:szCs w:val="18"/>
              </w:rPr>
              <w:t>1</w:t>
            </w:r>
          </w:p>
          <w:p w:rsidR="00085EDD" w:rsidRPr="006002E0" w:rsidRDefault="00085EDD" w:rsidP="00D2182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02E0">
              <w:rPr>
                <w:rFonts w:ascii="Georgia" w:hAnsi="Georgia" w:cs="Arial"/>
                <w:sz w:val="18"/>
                <w:szCs w:val="18"/>
              </w:rPr>
              <w:t xml:space="preserve"> Zaštita potrošača u Bosni i Hercegovini</w:t>
            </w:r>
          </w:p>
        </w:tc>
        <w:tc>
          <w:tcPr>
            <w:tcW w:w="3648" w:type="pct"/>
            <w:shd w:val="clear" w:color="auto" w:fill="FBD4B4"/>
          </w:tcPr>
          <w:p w:rsidR="00085EDD" w:rsidRPr="006002E0" w:rsidRDefault="00085EDD" w:rsidP="00D21821">
            <w:pPr>
              <w:pStyle w:val="Odlomakpopisa"/>
              <w:numPr>
                <w:ilvl w:val="0"/>
                <w:numId w:val="1"/>
              </w:num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6002E0">
              <w:rPr>
                <w:rFonts w:ascii="Georgia" w:hAnsi="Georgia" w:cs="Arial"/>
                <w:color w:val="000000"/>
                <w:sz w:val="18"/>
                <w:szCs w:val="18"/>
              </w:rPr>
              <w:t>Projekt 1.</w:t>
            </w:r>
            <w:r w:rsidR="006002E0">
              <w:rPr>
                <w:rFonts w:ascii="Georgia" w:hAnsi="Georgia" w:cs="Arial"/>
                <w:color w:val="000000"/>
                <w:sz w:val="18"/>
                <w:szCs w:val="18"/>
              </w:rPr>
              <w:t>1.1.</w:t>
            </w:r>
            <w:r w:rsidRPr="006002E0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="00A2623C">
              <w:rPr>
                <w:rFonts w:ascii="Georgia" w:hAnsi="Georgia" w:cs="Arial"/>
                <w:color w:val="000000"/>
                <w:sz w:val="18"/>
                <w:szCs w:val="18"/>
              </w:rPr>
              <w:t>Pravna</w:t>
            </w:r>
            <w:r w:rsidRPr="006002E0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podrška potrošačima (postupanje po pojedinačnim žalbama, davanje usmenih savjeta, mišljenja i tumačenja)</w:t>
            </w:r>
          </w:p>
          <w:p w:rsidR="00085EDD" w:rsidRPr="006002E0" w:rsidRDefault="00085EDD" w:rsidP="00D21821">
            <w:pPr>
              <w:pStyle w:val="Odlomakpopisa"/>
              <w:numPr>
                <w:ilvl w:val="0"/>
                <w:numId w:val="1"/>
              </w:num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6002E0">
              <w:rPr>
                <w:rFonts w:ascii="Georgia" w:hAnsi="Georgia" w:cs="Arial"/>
                <w:color w:val="000000"/>
                <w:sz w:val="18"/>
                <w:szCs w:val="18"/>
              </w:rPr>
              <w:t xml:space="preserve">Projekt </w:t>
            </w:r>
            <w:r w:rsidR="006002E0">
              <w:rPr>
                <w:rFonts w:ascii="Georgia" w:hAnsi="Georgia" w:cs="Arial"/>
                <w:color w:val="000000"/>
                <w:sz w:val="18"/>
                <w:szCs w:val="18"/>
              </w:rPr>
              <w:t>1.1.</w:t>
            </w:r>
            <w:r w:rsidRPr="006002E0">
              <w:rPr>
                <w:rFonts w:ascii="Georgia" w:hAnsi="Georgia" w:cs="Arial"/>
                <w:color w:val="000000"/>
                <w:sz w:val="18"/>
                <w:szCs w:val="18"/>
              </w:rPr>
              <w:t xml:space="preserve">2. Suradnja s ostalim nositeljima zaštite potrošača (čl. 98 ZZP) i predstavnicima trgovinskih udruženja - donošenje akata </w:t>
            </w:r>
            <w:r w:rsidR="00F455B8">
              <w:rPr>
                <w:rFonts w:ascii="Georgia" w:hAnsi="Georgia" w:cs="Arial"/>
                <w:color w:val="000000"/>
                <w:sz w:val="18"/>
                <w:szCs w:val="18"/>
              </w:rPr>
              <w:t xml:space="preserve">i poduzimanje mjera </w:t>
            </w:r>
            <w:r w:rsidRPr="006002E0">
              <w:rPr>
                <w:rFonts w:ascii="Georgia" w:hAnsi="Georgia" w:cs="Arial"/>
                <w:color w:val="000000"/>
                <w:sz w:val="18"/>
                <w:szCs w:val="18"/>
              </w:rPr>
              <w:t>koji imaju kolektivni</w:t>
            </w:r>
            <w:r w:rsidR="00FF1D00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karakter: Preporuke,</w:t>
            </w:r>
            <w:r w:rsidRPr="006002E0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Posebni izvještaji, Instrukcije</w:t>
            </w:r>
            <w:r w:rsidR="00F455B8">
              <w:rPr>
                <w:rFonts w:ascii="Georgia" w:hAnsi="Georgia" w:cs="Arial"/>
                <w:color w:val="000000"/>
                <w:sz w:val="18"/>
                <w:szCs w:val="18"/>
              </w:rPr>
              <w:t>, Sudski postupci</w:t>
            </w:r>
          </w:p>
          <w:p w:rsidR="00085EDD" w:rsidRPr="006002E0" w:rsidRDefault="00085EDD" w:rsidP="00D21821">
            <w:pPr>
              <w:tabs>
                <w:tab w:val="left" w:pos="1481"/>
              </w:tabs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</w:tr>
    </w:tbl>
    <w:p w:rsidR="00085EDD" w:rsidRDefault="00085EDD" w:rsidP="00697775">
      <w:pPr>
        <w:autoSpaceDE w:val="0"/>
        <w:autoSpaceDN w:val="0"/>
        <w:adjustRightInd w:val="0"/>
        <w:spacing w:line="276" w:lineRule="auto"/>
        <w:ind w:firstLine="0"/>
        <w:rPr>
          <w:b/>
        </w:rPr>
      </w:pPr>
    </w:p>
    <w:p w:rsidR="00085EDD" w:rsidRDefault="00085EDD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324241" w:rsidRDefault="0032424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D75DF5" w:rsidRPr="00A2623C" w:rsidRDefault="00A2623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b/>
          <w:sz w:val="28"/>
          <w:szCs w:val="28"/>
        </w:rPr>
      </w:pPr>
      <w:r w:rsidRPr="00A2623C">
        <w:rPr>
          <w:rFonts w:ascii="Georgia" w:hAnsi="Georgia" w:cs="Calibri"/>
          <w:b/>
          <w:sz w:val="28"/>
          <w:szCs w:val="28"/>
        </w:rPr>
        <w:t>Poglavlje 5: Resursi i kapaciteti potrebni za postizanje ciljeva</w:t>
      </w:r>
    </w:p>
    <w:p w:rsidR="00A2623C" w:rsidRDefault="00A2623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A2623C" w:rsidRPr="008A7CBA" w:rsidRDefault="00A2623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 w:rsidRPr="00A2623C">
        <w:rPr>
          <w:rFonts w:ascii="Georgia" w:hAnsi="Georgia"/>
          <w:sz w:val="24"/>
          <w:szCs w:val="24"/>
        </w:rPr>
        <w:t xml:space="preserve">U planiranom periodu za realizaciju specifičnog cilja Institucije ombudsmana predviđen iznos financiranja temeljen je isključivo na </w:t>
      </w:r>
      <w:r w:rsidR="007B0AF1">
        <w:rPr>
          <w:rFonts w:ascii="Georgia" w:hAnsi="Georgia"/>
          <w:sz w:val="24"/>
          <w:szCs w:val="24"/>
        </w:rPr>
        <w:t xml:space="preserve">dugoročnom operativnom </w:t>
      </w:r>
      <w:r w:rsidR="007B0AF1">
        <w:rPr>
          <w:rFonts w:ascii="Georgia" w:hAnsi="Georgia"/>
          <w:sz w:val="24"/>
          <w:szCs w:val="24"/>
        </w:rPr>
        <w:lastRenderedPageBreak/>
        <w:t>p</w:t>
      </w:r>
      <w:r w:rsidR="00BD2751">
        <w:rPr>
          <w:rFonts w:ascii="Georgia" w:hAnsi="Georgia"/>
          <w:sz w:val="24"/>
          <w:szCs w:val="24"/>
        </w:rPr>
        <w:t xml:space="preserve">lanu (DOB-u) institucije </w:t>
      </w:r>
      <w:r w:rsidR="00BD2751" w:rsidRPr="008A7CBA">
        <w:rPr>
          <w:rFonts w:ascii="Georgia" w:hAnsi="Georgia"/>
          <w:sz w:val="24"/>
          <w:szCs w:val="24"/>
        </w:rPr>
        <w:t xml:space="preserve">za </w:t>
      </w:r>
      <w:r w:rsidR="00561181">
        <w:rPr>
          <w:rFonts w:ascii="Georgia" w:hAnsi="Georgia"/>
          <w:sz w:val="24"/>
          <w:szCs w:val="24"/>
        </w:rPr>
        <w:t xml:space="preserve">period 2019-2021 </w:t>
      </w:r>
      <w:r w:rsidRPr="008A7CBA">
        <w:rPr>
          <w:rFonts w:ascii="Georgia" w:hAnsi="Georgia"/>
          <w:sz w:val="24"/>
          <w:szCs w:val="24"/>
        </w:rPr>
        <w:t xml:space="preserve">te iznosi </w:t>
      </w:r>
      <w:r w:rsidR="000F2DF7">
        <w:rPr>
          <w:rFonts w:ascii="Georgia" w:hAnsi="Georgia"/>
          <w:sz w:val="24"/>
          <w:szCs w:val="24"/>
        </w:rPr>
        <w:t>1135</w:t>
      </w:r>
      <w:r w:rsidR="007B0AF1" w:rsidRPr="008A7CBA">
        <w:rPr>
          <w:rFonts w:ascii="Georgia" w:hAnsi="Georgia"/>
          <w:sz w:val="24"/>
          <w:szCs w:val="24"/>
        </w:rPr>
        <w:t>000 KM</w:t>
      </w:r>
      <w:r w:rsidRPr="008A7CBA">
        <w:rPr>
          <w:rFonts w:ascii="Georgia" w:hAnsi="Georgia"/>
          <w:sz w:val="24"/>
          <w:szCs w:val="24"/>
        </w:rPr>
        <w:t xml:space="preserve"> i u cijelosti  se planira osigurati iz proračuna institucija BiH.</w:t>
      </w:r>
    </w:p>
    <w:p w:rsidR="00D75DF5" w:rsidRDefault="00D75DF5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A2623C" w:rsidRDefault="00A2623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b/>
          <w:sz w:val="28"/>
          <w:szCs w:val="28"/>
        </w:rPr>
      </w:pPr>
      <w:r w:rsidRPr="00A2623C">
        <w:rPr>
          <w:rFonts w:ascii="Georgia" w:hAnsi="Georgia" w:cs="Calibri"/>
          <w:b/>
          <w:sz w:val="28"/>
          <w:szCs w:val="28"/>
        </w:rPr>
        <w:t>Poglavlje 6: Okvir za praćenje provođenja plana i evaluaciju rezultata</w:t>
      </w:r>
    </w:p>
    <w:p w:rsidR="00A2623C" w:rsidRDefault="00A2623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b/>
          <w:sz w:val="28"/>
          <w:szCs w:val="28"/>
        </w:rPr>
      </w:pPr>
    </w:p>
    <w:p w:rsidR="00A2623C" w:rsidRDefault="00A2623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Ključni pokazatelj uspješnost</w:t>
      </w:r>
      <w:r w:rsidR="0015567B">
        <w:rPr>
          <w:rFonts w:ascii="Georgia" w:hAnsi="Georgia" w:cs="Calibri"/>
          <w:sz w:val="24"/>
          <w:szCs w:val="24"/>
        </w:rPr>
        <w:t xml:space="preserve">i ostvarenja </w:t>
      </w:r>
      <w:r w:rsidR="0033352C">
        <w:rPr>
          <w:rFonts w:ascii="Georgia" w:hAnsi="Georgia" w:cs="Calibri"/>
          <w:sz w:val="24"/>
          <w:szCs w:val="24"/>
        </w:rPr>
        <w:t xml:space="preserve">srednjoročnog i </w:t>
      </w:r>
      <w:r w:rsidR="0015567B">
        <w:rPr>
          <w:rFonts w:ascii="Georgia" w:hAnsi="Georgia" w:cs="Calibri"/>
          <w:sz w:val="24"/>
          <w:szCs w:val="24"/>
        </w:rPr>
        <w:t>specifičnog ci</w:t>
      </w:r>
      <w:r>
        <w:rPr>
          <w:rFonts w:ascii="Georgia" w:hAnsi="Georgia" w:cs="Calibri"/>
          <w:sz w:val="24"/>
          <w:szCs w:val="24"/>
        </w:rPr>
        <w:t>lja</w:t>
      </w:r>
      <w:r w:rsidR="0015567B">
        <w:rPr>
          <w:rFonts w:ascii="Georgia" w:hAnsi="Georgia" w:cs="Calibri"/>
          <w:sz w:val="24"/>
          <w:szCs w:val="24"/>
        </w:rPr>
        <w:t xml:space="preserve"> Institucije ombudsmana jest povećanje broja </w:t>
      </w:r>
      <w:r w:rsidR="00FF1D00">
        <w:rPr>
          <w:rFonts w:ascii="Georgia" w:hAnsi="Georgia" w:cs="Calibri"/>
          <w:b/>
          <w:sz w:val="24"/>
          <w:szCs w:val="24"/>
        </w:rPr>
        <w:t xml:space="preserve">okončanih </w:t>
      </w:r>
      <w:r w:rsidR="0015567B">
        <w:rPr>
          <w:rFonts w:ascii="Georgia" w:hAnsi="Georgia" w:cs="Calibri"/>
          <w:sz w:val="24"/>
          <w:szCs w:val="24"/>
        </w:rPr>
        <w:t>pojedinačnih i kolektivnih pravnih akata.</w:t>
      </w:r>
    </w:p>
    <w:p w:rsidR="0015567B" w:rsidRDefault="0015567B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15567B" w:rsidRDefault="0015567B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Pok</w:t>
      </w:r>
      <w:r w:rsidR="002F7D37">
        <w:rPr>
          <w:rFonts w:ascii="Georgia" w:hAnsi="Georgia" w:cs="Calibri"/>
          <w:sz w:val="24"/>
          <w:szCs w:val="24"/>
        </w:rPr>
        <w:t xml:space="preserve">azatelji </w:t>
      </w:r>
      <w:r w:rsidR="0033352C">
        <w:rPr>
          <w:rFonts w:ascii="Georgia" w:hAnsi="Georgia" w:cs="Calibri"/>
          <w:sz w:val="24"/>
          <w:szCs w:val="24"/>
        </w:rPr>
        <w:t xml:space="preserve">uspjeha </w:t>
      </w:r>
      <w:r w:rsidR="002F7D37">
        <w:rPr>
          <w:rFonts w:ascii="Georgia" w:hAnsi="Georgia" w:cs="Calibri"/>
          <w:sz w:val="24"/>
          <w:szCs w:val="24"/>
        </w:rPr>
        <w:t xml:space="preserve">realizacije </w:t>
      </w:r>
      <w:r w:rsidR="0096525A">
        <w:rPr>
          <w:rFonts w:ascii="Georgia" w:hAnsi="Georgia" w:cs="Calibri"/>
          <w:sz w:val="24"/>
          <w:szCs w:val="24"/>
        </w:rPr>
        <w:t>Srednjoročnog cilja</w:t>
      </w:r>
      <w:r w:rsidR="0033352C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>su:</w:t>
      </w:r>
    </w:p>
    <w:p w:rsidR="0033352C" w:rsidRDefault="0033352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340"/>
        <w:gridCol w:w="3294"/>
        <w:gridCol w:w="1328"/>
        <w:gridCol w:w="1326"/>
      </w:tblGrid>
      <w:tr w:rsidR="0033352C" w:rsidRPr="0015567B" w:rsidTr="0033352C">
        <w:tc>
          <w:tcPr>
            <w:tcW w:w="1798" w:type="pct"/>
            <w:vAlign w:val="center"/>
          </w:tcPr>
          <w:p w:rsidR="0033352C" w:rsidRPr="0033352C" w:rsidRDefault="0033352C" w:rsidP="0033352C">
            <w:pPr>
              <w:jc w:val="center"/>
              <w:rPr>
                <w:rFonts w:ascii="Georgia" w:hAnsi="Georgia" w:cs="Arial"/>
                <w:sz w:val="24"/>
                <w:szCs w:val="18"/>
              </w:rPr>
            </w:pPr>
            <w:r w:rsidRPr="0033352C">
              <w:rPr>
                <w:rFonts w:ascii="Georgia" w:hAnsi="Georgia" w:cs="Arial"/>
                <w:b/>
                <w:sz w:val="24"/>
                <w:szCs w:val="18"/>
              </w:rPr>
              <w:t>Srednjoročni cilj 1.</w:t>
            </w:r>
          </w:p>
        </w:tc>
        <w:tc>
          <w:tcPr>
            <w:tcW w:w="1773" w:type="pct"/>
            <w:vAlign w:val="center"/>
          </w:tcPr>
          <w:p w:rsidR="0033352C" w:rsidRPr="0015567B" w:rsidRDefault="0033352C" w:rsidP="00D21821">
            <w:pPr>
              <w:jc w:val="center"/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POKAZATELJ USPJEHA</w:t>
            </w:r>
          </w:p>
        </w:tc>
        <w:tc>
          <w:tcPr>
            <w:tcW w:w="715" w:type="pct"/>
          </w:tcPr>
          <w:p w:rsidR="0033352C" w:rsidRPr="0015567B" w:rsidRDefault="0033352C" w:rsidP="00D21821">
            <w:pPr>
              <w:jc w:val="center"/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Početna vrijednost (n)</w:t>
            </w:r>
          </w:p>
        </w:tc>
        <w:tc>
          <w:tcPr>
            <w:tcW w:w="714" w:type="pct"/>
          </w:tcPr>
          <w:p w:rsidR="0033352C" w:rsidRPr="0015567B" w:rsidRDefault="0033352C" w:rsidP="00D21821">
            <w:pPr>
              <w:jc w:val="center"/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Očekivana vrijednost (n+3)</w:t>
            </w:r>
          </w:p>
        </w:tc>
      </w:tr>
      <w:tr w:rsidR="0033352C" w:rsidRPr="0015567B" w:rsidTr="0033352C">
        <w:tc>
          <w:tcPr>
            <w:tcW w:w="3571" w:type="pct"/>
            <w:gridSpan w:val="2"/>
            <w:shd w:val="clear" w:color="auto" w:fill="DBE5F1" w:themeFill="accent1" w:themeFillTint="33"/>
          </w:tcPr>
          <w:p w:rsidR="0033352C" w:rsidRPr="0015567B" w:rsidRDefault="0033352C" w:rsidP="0033352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BE5F1" w:themeFill="accent1" w:themeFillTint="33"/>
          </w:tcPr>
          <w:p w:rsidR="0033352C" w:rsidRPr="0015567B" w:rsidRDefault="0033352C" w:rsidP="00D21821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sz w:val="18"/>
                <w:szCs w:val="18"/>
              </w:rPr>
              <w:t xml:space="preserve">Izraženo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% od ukupno donesenih akata</w:t>
            </w:r>
          </w:p>
        </w:tc>
        <w:tc>
          <w:tcPr>
            <w:tcW w:w="714" w:type="pct"/>
            <w:shd w:val="clear" w:color="auto" w:fill="DBE5F1" w:themeFill="accent1" w:themeFillTint="33"/>
          </w:tcPr>
          <w:p w:rsidR="0033352C" w:rsidRPr="0015567B" w:rsidRDefault="0033352C" w:rsidP="00D21821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sz w:val="18"/>
                <w:szCs w:val="18"/>
              </w:rPr>
              <w:t xml:space="preserve">Izraženo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% od ukupno donesenih akata</w:t>
            </w:r>
          </w:p>
        </w:tc>
      </w:tr>
      <w:tr w:rsidR="0033352C" w:rsidRPr="0015567B" w:rsidTr="0033352C">
        <w:tc>
          <w:tcPr>
            <w:tcW w:w="1798" w:type="pct"/>
            <w:shd w:val="clear" w:color="auto" w:fill="F2DBDB" w:themeFill="accent2" w:themeFillTint="33"/>
          </w:tcPr>
          <w:p w:rsidR="00BD2751" w:rsidRDefault="00BD2751" w:rsidP="00BD275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33352C" w:rsidRDefault="0033352C" w:rsidP="00BD275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33352C">
              <w:rPr>
                <w:rFonts w:ascii="Georgia" w:hAnsi="Georgia" w:cs="Arial"/>
                <w:b/>
                <w:sz w:val="18"/>
                <w:szCs w:val="18"/>
              </w:rPr>
              <w:t>Unapr</w:t>
            </w:r>
            <w:r w:rsidR="00BD2751">
              <w:rPr>
                <w:rFonts w:ascii="Georgia" w:hAnsi="Georgia" w:cs="Arial"/>
                <w:b/>
                <w:sz w:val="18"/>
                <w:szCs w:val="18"/>
              </w:rPr>
              <w:t>jeđenje zaštite potrošača</w:t>
            </w:r>
          </w:p>
          <w:p w:rsidR="00BD2751" w:rsidRPr="0015567B" w:rsidRDefault="00BD2751" w:rsidP="00BD275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773" w:type="pct"/>
            <w:shd w:val="clear" w:color="auto" w:fill="F2DBDB" w:themeFill="accent2" w:themeFillTint="33"/>
          </w:tcPr>
          <w:p w:rsidR="0033352C" w:rsidRPr="0015567B" w:rsidRDefault="0033352C" w:rsidP="00D21821">
            <w:pPr>
              <w:rPr>
                <w:rFonts w:ascii="Georgia" w:hAnsi="Georg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2DBDB" w:themeFill="accent2" w:themeFillTint="33"/>
            <w:vAlign w:val="center"/>
          </w:tcPr>
          <w:p w:rsidR="0033352C" w:rsidRPr="0033352C" w:rsidRDefault="000F2DF7" w:rsidP="0033352C">
            <w:pPr>
              <w:jc w:val="center"/>
              <w:rPr>
                <w:rFonts w:ascii="Georgia" w:hAnsi="Georgia" w:cs="Arial"/>
                <w:sz w:val="22"/>
                <w:szCs w:val="18"/>
              </w:rPr>
            </w:pPr>
            <w:r>
              <w:rPr>
                <w:rFonts w:ascii="Georgia" w:hAnsi="Georgia" w:cs="Arial"/>
                <w:sz w:val="22"/>
                <w:szCs w:val="18"/>
              </w:rPr>
              <w:t>87</w:t>
            </w:r>
            <w:r w:rsidR="000E3449">
              <w:rPr>
                <w:rFonts w:ascii="Georgia" w:hAnsi="Georgia" w:cs="Arial"/>
                <w:sz w:val="22"/>
                <w:szCs w:val="18"/>
              </w:rPr>
              <w:t>%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33352C" w:rsidRPr="0033352C" w:rsidRDefault="000F2DF7" w:rsidP="0033352C">
            <w:pPr>
              <w:jc w:val="center"/>
              <w:rPr>
                <w:rFonts w:ascii="Georgia" w:hAnsi="Georgia" w:cs="Arial"/>
                <w:sz w:val="22"/>
                <w:szCs w:val="18"/>
              </w:rPr>
            </w:pPr>
            <w:r>
              <w:rPr>
                <w:rFonts w:ascii="Georgia" w:hAnsi="Georgia" w:cs="Arial"/>
                <w:sz w:val="22"/>
                <w:szCs w:val="18"/>
              </w:rPr>
              <w:t>88</w:t>
            </w:r>
            <w:r w:rsidR="000E3449">
              <w:rPr>
                <w:rFonts w:ascii="Georgia" w:hAnsi="Georgia" w:cs="Arial"/>
                <w:sz w:val="22"/>
                <w:szCs w:val="18"/>
              </w:rPr>
              <w:t>%</w:t>
            </w:r>
          </w:p>
        </w:tc>
      </w:tr>
    </w:tbl>
    <w:p w:rsidR="00BD2751" w:rsidRDefault="00BD275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BD2751" w:rsidRDefault="00BD275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33352C" w:rsidRDefault="0033352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Pokazatelji uspjeha realizacije </w:t>
      </w:r>
      <w:r w:rsidR="00325141">
        <w:rPr>
          <w:rFonts w:ascii="Georgia" w:hAnsi="Georgia" w:cs="Calibri"/>
          <w:sz w:val="24"/>
          <w:szCs w:val="24"/>
        </w:rPr>
        <w:t>S</w:t>
      </w:r>
      <w:r>
        <w:rPr>
          <w:rFonts w:ascii="Georgia" w:hAnsi="Georgia" w:cs="Calibri"/>
          <w:sz w:val="24"/>
          <w:szCs w:val="24"/>
        </w:rPr>
        <w:t xml:space="preserve">pecifičnog cilja </w:t>
      </w:r>
      <w:r w:rsidR="0096525A">
        <w:rPr>
          <w:rFonts w:ascii="Georgia" w:hAnsi="Georgia" w:cs="Calibri"/>
          <w:sz w:val="24"/>
          <w:szCs w:val="24"/>
        </w:rPr>
        <w:t>1.1.</w:t>
      </w:r>
      <w:r w:rsidR="00325141">
        <w:rPr>
          <w:rFonts w:ascii="Georgia" w:hAnsi="Georgia" w:cs="Calibri"/>
          <w:sz w:val="24"/>
          <w:szCs w:val="24"/>
        </w:rPr>
        <w:t xml:space="preserve"> su</w:t>
      </w:r>
      <w:r>
        <w:rPr>
          <w:rFonts w:ascii="Georgia" w:hAnsi="Georgia" w:cs="Calibri"/>
          <w:sz w:val="24"/>
          <w:szCs w:val="24"/>
        </w:rPr>
        <w:t>:</w:t>
      </w:r>
    </w:p>
    <w:p w:rsidR="00BD2751" w:rsidRDefault="00BD275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93"/>
        <w:gridCol w:w="3266"/>
        <w:gridCol w:w="1917"/>
        <w:gridCol w:w="2212"/>
      </w:tblGrid>
      <w:tr w:rsidR="0033352C" w:rsidRPr="00144D5A" w:rsidTr="00D21821">
        <w:tc>
          <w:tcPr>
            <w:tcW w:w="2777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A66D5" w:rsidRPr="0033352C" w:rsidRDefault="0033352C" w:rsidP="00FA66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352C">
              <w:rPr>
                <w:rFonts w:ascii="Georgia" w:hAnsi="Georgia" w:cs="Arial"/>
                <w:b/>
                <w:sz w:val="18"/>
                <w:szCs w:val="18"/>
              </w:rPr>
              <w:t>Unapr</w:t>
            </w:r>
            <w:r w:rsidR="00FA66D5">
              <w:rPr>
                <w:rFonts w:ascii="Georgia" w:hAnsi="Georgia" w:cs="Arial"/>
                <w:b/>
                <w:sz w:val="18"/>
                <w:szCs w:val="18"/>
              </w:rPr>
              <w:t>jeđenje zaštite potrošača</w:t>
            </w:r>
          </w:p>
          <w:p w:rsidR="0033352C" w:rsidRPr="0033352C" w:rsidRDefault="0033352C" w:rsidP="0033352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3352C" w:rsidRPr="00144D5A" w:rsidRDefault="0033352C" w:rsidP="00D21821">
            <w:pPr>
              <w:jc w:val="center"/>
              <w:rPr>
                <w:rFonts w:ascii="Georgia" w:hAnsi="Georgia"/>
                <w:b/>
                <w:sz w:val="18"/>
              </w:rPr>
            </w:pPr>
            <w:r w:rsidRPr="00144D5A">
              <w:rPr>
                <w:rFonts w:ascii="Georgia" w:hAnsi="Georgia"/>
                <w:b/>
                <w:sz w:val="18"/>
              </w:rPr>
              <w:t>Početna vrijednost         (n)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3352C" w:rsidRPr="00144D5A" w:rsidRDefault="0033352C" w:rsidP="00D21821">
            <w:pPr>
              <w:jc w:val="center"/>
              <w:rPr>
                <w:rFonts w:ascii="Georgia" w:hAnsi="Georgia"/>
                <w:b/>
                <w:sz w:val="18"/>
                <w:lang w:val="en-GB"/>
              </w:rPr>
            </w:pPr>
            <w:r w:rsidRPr="00144D5A">
              <w:rPr>
                <w:rFonts w:ascii="Georgia" w:hAnsi="Georgia"/>
                <w:b/>
                <w:sz w:val="18"/>
              </w:rPr>
              <w:t>Očekivana vrijednost (n</w:t>
            </w:r>
            <w:r w:rsidRPr="00144D5A">
              <w:rPr>
                <w:rFonts w:ascii="Georgia" w:hAnsi="Georgia"/>
                <w:b/>
                <w:sz w:val="18"/>
                <w:lang w:val="en-GB"/>
              </w:rPr>
              <w:t>+3)</w:t>
            </w:r>
          </w:p>
        </w:tc>
      </w:tr>
      <w:tr w:rsidR="0033352C" w:rsidRPr="00144D5A" w:rsidTr="00D21821">
        <w:tc>
          <w:tcPr>
            <w:tcW w:w="1019" w:type="pc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3352C" w:rsidRPr="00144D5A" w:rsidRDefault="0033352C" w:rsidP="00D21821">
            <w:pPr>
              <w:jc w:val="left"/>
              <w:rPr>
                <w:rFonts w:ascii="Georgia" w:hAnsi="Georgia"/>
                <w:b/>
              </w:rPr>
            </w:pPr>
            <w:r w:rsidRPr="00144D5A">
              <w:rPr>
                <w:rFonts w:ascii="Georgia" w:hAnsi="Georgia"/>
                <w:b/>
              </w:rPr>
              <w:t>SPECIFIČNI CILJ INSTITUCIJE 1</w:t>
            </w:r>
            <w:r w:rsidR="00325141">
              <w:rPr>
                <w:rFonts w:ascii="Georgia" w:hAnsi="Georgia"/>
                <w:b/>
              </w:rPr>
              <w:t>.1</w:t>
            </w:r>
          </w:p>
        </w:tc>
        <w:tc>
          <w:tcPr>
            <w:tcW w:w="1758" w:type="pc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3352C" w:rsidRPr="00325141" w:rsidRDefault="00FA66D5" w:rsidP="00D21821">
            <w:pPr>
              <w:jc w:val="center"/>
              <w:rPr>
                <w:rFonts w:ascii="Georgia" w:hAnsi="Georgia"/>
                <w:b/>
                <w:sz w:val="16"/>
                <w:szCs w:val="18"/>
              </w:rPr>
            </w:pPr>
            <w:r>
              <w:rPr>
                <w:rFonts w:ascii="Georgia" w:hAnsi="Georgia" w:cs="Arial"/>
                <w:b/>
                <w:szCs w:val="22"/>
              </w:rPr>
              <w:t>Unapr</w:t>
            </w:r>
            <w:r w:rsidR="0033352C" w:rsidRPr="00325141">
              <w:rPr>
                <w:rFonts w:ascii="Georgia" w:hAnsi="Georgia" w:cs="Arial"/>
                <w:b/>
                <w:szCs w:val="22"/>
              </w:rPr>
              <w:t>jeđenje pojedinačne i kolektivne zaštite potrošača i institucionalne</w:t>
            </w:r>
            <w:r w:rsidR="0033352C" w:rsidRPr="00325141">
              <w:rPr>
                <w:rFonts w:ascii="Georgia" w:hAnsi="Georgia"/>
                <w:b/>
                <w:sz w:val="16"/>
                <w:szCs w:val="18"/>
              </w:rPr>
              <w:t xml:space="preserve"> </w:t>
            </w:r>
            <w:r w:rsidR="0033352C" w:rsidRPr="00325141">
              <w:rPr>
                <w:rFonts w:ascii="Georgia" w:hAnsi="Georgia"/>
                <w:b/>
                <w:szCs w:val="22"/>
              </w:rPr>
              <w:t xml:space="preserve">suradnje s ostalim nositeljima zaštite potrošača </w:t>
            </w:r>
          </w:p>
          <w:p w:rsidR="0033352C" w:rsidRPr="00144D5A" w:rsidRDefault="0033352C" w:rsidP="00D2182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3352C" w:rsidRPr="00144D5A" w:rsidRDefault="0033352C" w:rsidP="00D218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144D5A">
              <w:rPr>
                <w:rFonts w:ascii="Georgia" w:hAnsi="Georgia"/>
                <w:sz w:val="16"/>
                <w:szCs w:val="16"/>
              </w:rPr>
              <w:t>izraženo postotkom od ukupno donesenih akata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3352C" w:rsidRPr="00144D5A" w:rsidRDefault="0033352C" w:rsidP="00D21821">
            <w:pPr>
              <w:pStyle w:val="Odlomakpopisa"/>
              <w:ind w:left="459"/>
              <w:rPr>
                <w:rFonts w:ascii="Georgia" w:hAnsi="Georgia"/>
                <w:sz w:val="16"/>
                <w:szCs w:val="16"/>
                <w:lang w:val="hr-BA"/>
              </w:rPr>
            </w:pPr>
            <w:r w:rsidRPr="00144D5A">
              <w:rPr>
                <w:rFonts w:ascii="Georgia" w:hAnsi="Georgia"/>
                <w:sz w:val="16"/>
                <w:szCs w:val="16"/>
                <w:lang w:val="hr-BA"/>
              </w:rPr>
              <w:t xml:space="preserve">izraženo </w:t>
            </w:r>
            <w:r>
              <w:rPr>
                <w:rFonts w:ascii="Georgia" w:hAnsi="Georgia"/>
                <w:sz w:val="16"/>
                <w:szCs w:val="16"/>
                <w:lang w:val="hr-BA"/>
              </w:rPr>
              <w:t xml:space="preserve"> </w:t>
            </w:r>
            <w:r w:rsidRPr="00144D5A">
              <w:rPr>
                <w:rFonts w:ascii="Georgia" w:hAnsi="Georgia"/>
                <w:sz w:val="16"/>
                <w:szCs w:val="16"/>
                <w:lang w:val="hr-BA"/>
              </w:rPr>
              <w:t>postotkom od ukupno donesenih akata</w:t>
            </w:r>
          </w:p>
        </w:tc>
      </w:tr>
      <w:tr w:rsidR="0033352C" w:rsidRPr="00144D5A" w:rsidTr="00D21821">
        <w:tc>
          <w:tcPr>
            <w:tcW w:w="1019" w:type="pct"/>
            <w:shd w:val="clear" w:color="auto" w:fill="F2DBDB" w:themeFill="accent2" w:themeFillTint="33"/>
          </w:tcPr>
          <w:p w:rsidR="0033352C" w:rsidRPr="00144D5A" w:rsidRDefault="0033352C" w:rsidP="00D21821">
            <w:pPr>
              <w:jc w:val="left"/>
              <w:rPr>
                <w:rFonts w:ascii="Georgia" w:hAnsi="Georgia"/>
              </w:rPr>
            </w:pPr>
            <w:r w:rsidRPr="00144D5A">
              <w:rPr>
                <w:rFonts w:ascii="Georgia" w:hAnsi="Georgia"/>
              </w:rPr>
              <w:t>POKAZATELJ USPJEHA 1.1</w:t>
            </w:r>
          </w:p>
        </w:tc>
        <w:tc>
          <w:tcPr>
            <w:tcW w:w="1758" w:type="pct"/>
            <w:shd w:val="clear" w:color="auto" w:fill="F2DBDB" w:themeFill="accent2" w:themeFillTint="33"/>
          </w:tcPr>
          <w:p w:rsidR="0033352C" w:rsidRPr="00144D5A" w:rsidRDefault="00BA7407" w:rsidP="00D21821">
            <w:pPr>
              <w:pStyle w:val="Odlomakpopisa"/>
              <w:ind w:left="459"/>
              <w:rPr>
                <w:rFonts w:ascii="Georgia" w:hAnsi="Georgia"/>
                <w:lang w:val="hr-BA"/>
              </w:rPr>
            </w:pPr>
            <w:r>
              <w:rPr>
                <w:rFonts w:ascii="Georgia" w:hAnsi="Georgia"/>
                <w:lang w:val="hr-BA"/>
              </w:rPr>
              <w:t>Okončani predmeti pojedinačnog karaktera</w:t>
            </w:r>
          </w:p>
        </w:tc>
        <w:tc>
          <w:tcPr>
            <w:tcW w:w="1032" w:type="pct"/>
            <w:shd w:val="clear" w:color="auto" w:fill="F2DBDB" w:themeFill="accent2" w:themeFillTint="33"/>
            <w:vAlign w:val="center"/>
          </w:tcPr>
          <w:p w:rsidR="0033352C" w:rsidRPr="00144D5A" w:rsidRDefault="00BE5575" w:rsidP="00D21821">
            <w:pPr>
              <w:pStyle w:val="Odlomakpopisa"/>
              <w:ind w:left="459"/>
              <w:jc w:val="center"/>
              <w:rPr>
                <w:rFonts w:ascii="Georgia" w:hAnsi="Georgia"/>
                <w:lang w:val="hr-BA"/>
              </w:rPr>
            </w:pPr>
            <w:r>
              <w:rPr>
                <w:rFonts w:ascii="Georgia" w:hAnsi="Georgia"/>
                <w:lang w:val="hr-BA"/>
              </w:rPr>
              <w:t>84</w:t>
            </w:r>
            <w:r w:rsidR="00816CA4">
              <w:rPr>
                <w:rFonts w:ascii="Georgia" w:hAnsi="Georgia"/>
                <w:lang w:val="hr-BA"/>
              </w:rPr>
              <w:t>%</w:t>
            </w:r>
          </w:p>
        </w:tc>
        <w:tc>
          <w:tcPr>
            <w:tcW w:w="1191" w:type="pct"/>
            <w:shd w:val="clear" w:color="auto" w:fill="F2DBDB" w:themeFill="accent2" w:themeFillTint="33"/>
            <w:vAlign w:val="center"/>
          </w:tcPr>
          <w:p w:rsidR="0033352C" w:rsidRPr="00144D5A" w:rsidRDefault="00816CA4" w:rsidP="00D21821">
            <w:pPr>
              <w:ind w:left="720" w:hanging="3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90%</w:t>
            </w:r>
          </w:p>
        </w:tc>
      </w:tr>
      <w:tr w:rsidR="0033352C" w:rsidRPr="00144D5A" w:rsidTr="00D21821">
        <w:tc>
          <w:tcPr>
            <w:tcW w:w="101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3352C" w:rsidRPr="00144D5A" w:rsidRDefault="0033352C" w:rsidP="00D21821">
            <w:pPr>
              <w:jc w:val="left"/>
              <w:rPr>
                <w:rFonts w:ascii="Georgia" w:hAnsi="Georgia"/>
              </w:rPr>
            </w:pPr>
            <w:r w:rsidRPr="00144D5A">
              <w:rPr>
                <w:rFonts w:ascii="Georgia" w:hAnsi="Georgia"/>
              </w:rPr>
              <w:t>POKAZATELJ USPJEHA 1.2</w:t>
            </w: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3352C" w:rsidRPr="00144D5A" w:rsidRDefault="00BA7407" w:rsidP="00BA7407">
            <w:pPr>
              <w:pStyle w:val="Odlomakpopisa"/>
              <w:ind w:left="459"/>
              <w:rPr>
                <w:rFonts w:ascii="Georgia" w:hAnsi="Georgia"/>
                <w:lang w:val="hr-BA"/>
              </w:rPr>
            </w:pPr>
            <w:r>
              <w:rPr>
                <w:rFonts w:ascii="Georgia" w:hAnsi="Georgia"/>
                <w:lang w:val="hr-BA"/>
              </w:rPr>
              <w:t xml:space="preserve">Okončani predmeti kolektivnog karaktera 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3352C" w:rsidRPr="00144D5A" w:rsidRDefault="00BE5575" w:rsidP="00FA66D5">
            <w:pPr>
              <w:pStyle w:val="Odlomakpopisa"/>
              <w:ind w:left="459"/>
              <w:jc w:val="center"/>
              <w:rPr>
                <w:rFonts w:ascii="Georgia" w:hAnsi="Georgia"/>
                <w:lang w:val="hr-BA"/>
              </w:rPr>
            </w:pPr>
            <w:r>
              <w:rPr>
                <w:rFonts w:ascii="Georgia" w:hAnsi="Georgia"/>
                <w:lang w:val="hr-BA"/>
              </w:rPr>
              <w:t>117</w:t>
            </w:r>
            <w:r w:rsidR="00816CA4">
              <w:rPr>
                <w:rFonts w:ascii="Georgia" w:hAnsi="Georgia"/>
                <w:lang w:val="hr-BA"/>
              </w:rPr>
              <w:t>%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3352C" w:rsidRPr="00144D5A" w:rsidRDefault="00816CA4" w:rsidP="00D21821">
            <w:pPr>
              <w:pStyle w:val="Odlomakpopisa"/>
              <w:ind w:left="459"/>
              <w:jc w:val="center"/>
              <w:rPr>
                <w:rFonts w:ascii="Georgia" w:hAnsi="Georgia"/>
                <w:lang w:val="hr-BA"/>
              </w:rPr>
            </w:pPr>
            <w:r>
              <w:rPr>
                <w:rFonts w:ascii="Georgia" w:hAnsi="Georgia"/>
                <w:lang w:val="hr-BA"/>
              </w:rPr>
              <w:t>85%</w:t>
            </w:r>
          </w:p>
        </w:tc>
      </w:tr>
    </w:tbl>
    <w:p w:rsidR="0033352C" w:rsidRDefault="0033352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33352C" w:rsidRDefault="0033352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33352C" w:rsidRDefault="0032514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Pokazatelji rezultata realizacije Programa 1.1.1 su:</w:t>
      </w:r>
    </w:p>
    <w:p w:rsidR="00325141" w:rsidRDefault="0032514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340"/>
        <w:gridCol w:w="3294"/>
        <w:gridCol w:w="1328"/>
        <w:gridCol w:w="1326"/>
      </w:tblGrid>
      <w:tr w:rsidR="00325141" w:rsidRPr="0015567B" w:rsidTr="00325141">
        <w:tc>
          <w:tcPr>
            <w:tcW w:w="1798" w:type="pct"/>
            <w:vAlign w:val="center"/>
          </w:tcPr>
          <w:p w:rsidR="00325141" w:rsidRPr="00325141" w:rsidRDefault="00325141" w:rsidP="00325141">
            <w:pPr>
              <w:jc w:val="center"/>
              <w:rPr>
                <w:rFonts w:ascii="Georgia" w:hAnsi="Georgia"/>
                <w:b/>
                <w:sz w:val="22"/>
                <w:szCs w:val="18"/>
              </w:rPr>
            </w:pPr>
            <w:r w:rsidRPr="00325141">
              <w:rPr>
                <w:rFonts w:ascii="Georgia" w:hAnsi="Georgia" w:cs="Arial"/>
                <w:b/>
                <w:sz w:val="22"/>
                <w:szCs w:val="18"/>
              </w:rPr>
              <w:t>Program 1.1.1</w:t>
            </w:r>
          </w:p>
          <w:p w:rsidR="00325141" w:rsidRPr="0015567B" w:rsidRDefault="00325141" w:rsidP="0032514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773" w:type="pct"/>
            <w:vAlign w:val="center"/>
          </w:tcPr>
          <w:p w:rsidR="00325141" w:rsidRPr="0015567B" w:rsidRDefault="00325141" w:rsidP="00D21821">
            <w:pPr>
              <w:jc w:val="center"/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POKAZATELJI REZULTATA</w:t>
            </w:r>
          </w:p>
        </w:tc>
        <w:tc>
          <w:tcPr>
            <w:tcW w:w="715" w:type="pct"/>
          </w:tcPr>
          <w:p w:rsidR="00325141" w:rsidRPr="0015567B" w:rsidRDefault="00325141" w:rsidP="00D21821">
            <w:pPr>
              <w:jc w:val="center"/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Početna vrijednost (n)</w:t>
            </w:r>
          </w:p>
        </w:tc>
        <w:tc>
          <w:tcPr>
            <w:tcW w:w="715" w:type="pct"/>
          </w:tcPr>
          <w:p w:rsidR="00325141" w:rsidRPr="0015567B" w:rsidRDefault="00325141" w:rsidP="00D21821">
            <w:pPr>
              <w:jc w:val="center"/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Očekivana vrijednost (n+3)</w:t>
            </w:r>
          </w:p>
        </w:tc>
      </w:tr>
      <w:tr w:rsidR="00325141" w:rsidRPr="0015567B" w:rsidTr="00D21821">
        <w:tc>
          <w:tcPr>
            <w:tcW w:w="3570" w:type="pct"/>
            <w:gridSpan w:val="2"/>
            <w:shd w:val="clear" w:color="auto" w:fill="DBE5F1" w:themeFill="accent1" w:themeFillTint="33"/>
          </w:tcPr>
          <w:p w:rsidR="00325141" w:rsidRPr="0015567B" w:rsidRDefault="00325141" w:rsidP="0032514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BE5F1" w:themeFill="accent1" w:themeFillTint="33"/>
          </w:tcPr>
          <w:p w:rsidR="00325141" w:rsidRPr="0015567B" w:rsidRDefault="00325141" w:rsidP="00D21821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sz w:val="18"/>
                <w:szCs w:val="18"/>
              </w:rPr>
              <w:t>Izraženo brojem</w:t>
            </w:r>
          </w:p>
        </w:tc>
        <w:tc>
          <w:tcPr>
            <w:tcW w:w="715" w:type="pct"/>
            <w:shd w:val="clear" w:color="auto" w:fill="DBE5F1" w:themeFill="accent1" w:themeFillTint="33"/>
          </w:tcPr>
          <w:p w:rsidR="00325141" w:rsidRPr="0015567B" w:rsidRDefault="00325141" w:rsidP="00D21821">
            <w:pPr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Izraženo brojem</w:t>
            </w:r>
          </w:p>
        </w:tc>
      </w:tr>
      <w:tr w:rsidR="00325141" w:rsidRPr="007B0AF1" w:rsidTr="00325141">
        <w:tc>
          <w:tcPr>
            <w:tcW w:w="1798" w:type="pct"/>
            <w:shd w:val="clear" w:color="auto" w:fill="F2DBDB" w:themeFill="accent2" w:themeFillTint="33"/>
          </w:tcPr>
          <w:p w:rsidR="00325141" w:rsidRPr="0015567B" w:rsidRDefault="00325141" w:rsidP="00D21821">
            <w:pPr>
              <w:jc w:val="left"/>
              <w:rPr>
                <w:rFonts w:ascii="Georgia" w:hAnsi="Georgia" w:cs="Arial"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Zaštita potrošača u Bosni i Hercegovini</w:t>
            </w:r>
          </w:p>
        </w:tc>
        <w:tc>
          <w:tcPr>
            <w:tcW w:w="1773" w:type="pct"/>
            <w:shd w:val="clear" w:color="auto" w:fill="F2DBDB" w:themeFill="accent2" w:themeFillTint="33"/>
          </w:tcPr>
          <w:p w:rsidR="00325141" w:rsidRPr="0015567B" w:rsidRDefault="00325141" w:rsidP="009A61DC">
            <w:pPr>
              <w:rPr>
                <w:rFonts w:ascii="Georgia" w:hAnsi="Georgia" w:cs="Arial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 w:cs="Arial"/>
                <w:color w:val="000000" w:themeColor="text1"/>
                <w:sz w:val="18"/>
                <w:szCs w:val="18"/>
              </w:rPr>
              <w:t xml:space="preserve">Broj ukupno </w:t>
            </w:r>
            <w:r w:rsidR="009A61DC">
              <w:rPr>
                <w:rFonts w:ascii="Georgia" w:hAnsi="Georgia" w:cs="Arial"/>
                <w:color w:val="000000" w:themeColor="text1"/>
                <w:sz w:val="18"/>
                <w:szCs w:val="18"/>
              </w:rPr>
              <w:t>zaprimljenih predmeta u rad</w:t>
            </w:r>
          </w:p>
        </w:tc>
        <w:tc>
          <w:tcPr>
            <w:tcW w:w="715" w:type="pct"/>
            <w:shd w:val="clear" w:color="auto" w:fill="F2DBDB" w:themeFill="accent2" w:themeFillTint="33"/>
            <w:vAlign w:val="center"/>
          </w:tcPr>
          <w:p w:rsidR="00325141" w:rsidRPr="00325141" w:rsidRDefault="00BE5575" w:rsidP="0032514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887</w:t>
            </w:r>
          </w:p>
        </w:tc>
        <w:tc>
          <w:tcPr>
            <w:tcW w:w="715" w:type="pct"/>
            <w:shd w:val="clear" w:color="auto" w:fill="F2DBDB" w:themeFill="accent2" w:themeFillTint="33"/>
            <w:vAlign w:val="center"/>
          </w:tcPr>
          <w:p w:rsidR="00325141" w:rsidRPr="007B0AF1" w:rsidRDefault="009A61DC" w:rsidP="0032514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1050</w:t>
            </w:r>
          </w:p>
        </w:tc>
      </w:tr>
    </w:tbl>
    <w:p w:rsidR="00325141" w:rsidRDefault="0032514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CE74C4" w:rsidRDefault="00CE74C4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CE74C4" w:rsidRDefault="00CE74C4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325141" w:rsidRDefault="00325141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lastRenderedPageBreak/>
        <w:t>Pokazatelji rezultata realizacije Projekata 1.1.1.1 i 1.1.1.2 su</w:t>
      </w:r>
    </w:p>
    <w:p w:rsidR="0033352C" w:rsidRDefault="0033352C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340"/>
        <w:gridCol w:w="3294"/>
        <w:gridCol w:w="1328"/>
        <w:gridCol w:w="1326"/>
      </w:tblGrid>
      <w:tr w:rsidR="0015567B" w:rsidRPr="0015567B" w:rsidTr="00144D5A">
        <w:tc>
          <w:tcPr>
            <w:tcW w:w="1798" w:type="pct"/>
          </w:tcPr>
          <w:p w:rsidR="0015567B" w:rsidRPr="0015567B" w:rsidRDefault="0015567B" w:rsidP="00D21821">
            <w:pPr>
              <w:jc w:val="left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773" w:type="pct"/>
            <w:vAlign w:val="center"/>
          </w:tcPr>
          <w:p w:rsidR="0015567B" w:rsidRPr="0015567B" w:rsidRDefault="0015567B" w:rsidP="00144D5A">
            <w:pPr>
              <w:jc w:val="center"/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POKAZATELJI REZULTATA</w:t>
            </w:r>
          </w:p>
        </w:tc>
        <w:tc>
          <w:tcPr>
            <w:tcW w:w="715" w:type="pct"/>
          </w:tcPr>
          <w:p w:rsidR="0015567B" w:rsidRPr="0015567B" w:rsidRDefault="0015567B" w:rsidP="00D21821">
            <w:pPr>
              <w:jc w:val="center"/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Početna vrijednost (n)</w:t>
            </w:r>
          </w:p>
        </w:tc>
        <w:tc>
          <w:tcPr>
            <w:tcW w:w="715" w:type="pct"/>
          </w:tcPr>
          <w:p w:rsidR="0015567B" w:rsidRPr="0015567B" w:rsidRDefault="0015567B" w:rsidP="00D21821">
            <w:pPr>
              <w:jc w:val="center"/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Očekivana vrijednost (n+3)</w:t>
            </w:r>
          </w:p>
        </w:tc>
      </w:tr>
      <w:tr w:rsidR="0015567B" w:rsidRPr="0015567B" w:rsidTr="00144D5A">
        <w:tc>
          <w:tcPr>
            <w:tcW w:w="3570" w:type="pct"/>
            <w:gridSpan w:val="2"/>
            <w:shd w:val="clear" w:color="auto" w:fill="DBE5F1" w:themeFill="accent1" w:themeFillTint="33"/>
          </w:tcPr>
          <w:p w:rsidR="0015567B" w:rsidRPr="0015567B" w:rsidRDefault="0015567B" w:rsidP="0032514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BE5F1" w:themeFill="accent1" w:themeFillTint="33"/>
          </w:tcPr>
          <w:p w:rsidR="0015567B" w:rsidRPr="0015567B" w:rsidRDefault="0015567B" w:rsidP="00D21821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15567B">
              <w:rPr>
                <w:rFonts w:ascii="Georgia" w:hAnsi="Georgia" w:cs="Arial"/>
                <w:b/>
                <w:sz w:val="18"/>
                <w:szCs w:val="18"/>
              </w:rPr>
              <w:t>Izraženo brojem</w:t>
            </w:r>
          </w:p>
        </w:tc>
        <w:tc>
          <w:tcPr>
            <w:tcW w:w="715" w:type="pct"/>
            <w:shd w:val="clear" w:color="auto" w:fill="DBE5F1" w:themeFill="accent1" w:themeFillTint="33"/>
          </w:tcPr>
          <w:p w:rsidR="0015567B" w:rsidRPr="0015567B" w:rsidRDefault="0015567B" w:rsidP="00D21821">
            <w:pPr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Izraženo brojem</w:t>
            </w:r>
          </w:p>
        </w:tc>
      </w:tr>
      <w:tr w:rsidR="0015567B" w:rsidRPr="0015567B" w:rsidTr="00144D5A">
        <w:tc>
          <w:tcPr>
            <w:tcW w:w="1798" w:type="pct"/>
            <w:shd w:val="clear" w:color="auto" w:fill="F2DBDB" w:themeFill="accent2" w:themeFillTint="33"/>
          </w:tcPr>
          <w:p w:rsidR="0015567B" w:rsidRPr="0015567B" w:rsidRDefault="0015567B" w:rsidP="00D21821">
            <w:pPr>
              <w:jc w:val="left"/>
              <w:rPr>
                <w:rFonts w:ascii="Georgia" w:hAnsi="Georgia" w:cs="Arial"/>
                <w:sz w:val="18"/>
                <w:szCs w:val="18"/>
              </w:rPr>
            </w:pPr>
            <w:r w:rsidRPr="0015567B">
              <w:rPr>
                <w:rFonts w:ascii="Georgia" w:hAnsi="Georgia" w:cs="Arial"/>
                <w:sz w:val="18"/>
                <w:szCs w:val="18"/>
              </w:rPr>
              <w:t xml:space="preserve">P 1.1: </w:t>
            </w:r>
            <w:r w:rsidR="007B0AF1">
              <w:rPr>
                <w:rFonts w:ascii="Georgia" w:hAnsi="Georgia" w:cs="Arial"/>
                <w:color w:val="000000"/>
                <w:sz w:val="18"/>
                <w:szCs w:val="18"/>
              </w:rPr>
              <w:t>Pravna</w:t>
            </w:r>
            <w:r w:rsidRPr="0015567B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podrška potrošačima (postupanje po pojedinačnim žalbama, davanje usmenih savjeta, mišljenja i tumačenja)</w:t>
            </w:r>
          </w:p>
        </w:tc>
        <w:tc>
          <w:tcPr>
            <w:tcW w:w="1773" w:type="pct"/>
            <w:shd w:val="clear" w:color="auto" w:fill="F2DBDB" w:themeFill="accent2" w:themeFillTint="33"/>
          </w:tcPr>
          <w:p w:rsidR="0015567B" w:rsidRPr="00CE74C4" w:rsidRDefault="0015567B" w:rsidP="00135304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>Pravni savjeti (usmeni i pismeni)</w:t>
            </w:r>
            <w:r w:rsidR="00135304" w:rsidRPr="00CE74C4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81010E" w:rsidRPr="00CE74C4">
              <w:rPr>
                <w:rFonts w:ascii="Georgia" w:hAnsi="Georgia" w:cs="Arial"/>
                <w:sz w:val="18"/>
                <w:szCs w:val="18"/>
              </w:rPr>
              <w:t>/ /tumačenja i mišljenja ZZP</w:t>
            </w:r>
            <w:r w:rsidRPr="00CE74C4">
              <w:rPr>
                <w:rFonts w:ascii="Georgia" w:hAnsi="Georgia" w:cs="Arial"/>
                <w:sz w:val="18"/>
                <w:szCs w:val="18"/>
              </w:rPr>
              <w:t>/odluk</w:t>
            </w:r>
            <w:r w:rsidR="009A61DC" w:rsidRPr="00CE74C4">
              <w:rPr>
                <w:rFonts w:ascii="Georgia" w:hAnsi="Georgia" w:cs="Arial"/>
                <w:sz w:val="18"/>
                <w:szCs w:val="18"/>
              </w:rPr>
              <w:t xml:space="preserve">e u pojedinačnim predmetima 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7B0AF1" w:rsidRPr="00CE74C4" w:rsidRDefault="00FA66D5" w:rsidP="00D2182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 xml:space="preserve">(Σ </w:t>
            </w:r>
            <w:r w:rsidR="00BE5575">
              <w:rPr>
                <w:rFonts w:ascii="Georgia" w:hAnsi="Georgia" w:cs="Arial"/>
                <w:sz w:val="18"/>
                <w:szCs w:val="18"/>
              </w:rPr>
              <w:t>797</w:t>
            </w:r>
            <w:r w:rsidRPr="00CE74C4">
              <w:rPr>
                <w:rFonts w:ascii="Georgia" w:hAnsi="Georgia" w:cs="Arial"/>
                <w:sz w:val="18"/>
                <w:szCs w:val="18"/>
              </w:rPr>
              <w:t>)</w:t>
            </w:r>
          </w:p>
          <w:p w:rsidR="007B0AF1" w:rsidRPr="00CE74C4" w:rsidRDefault="007B0AF1" w:rsidP="007B0AF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15567B" w:rsidRPr="00CE74C4" w:rsidRDefault="00BE5575" w:rsidP="007B0AF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613/12/172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7B0AF1" w:rsidRPr="00CE74C4" w:rsidRDefault="00FA66D5" w:rsidP="00D2182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 xml:space="preserve"> (Σ </w:t>
            </w:r>
            <w:r w:rsidR="00135304" w:rsidRPr="00CE74C4">
              <w:rPr>
                <w:rFonts w:ascii="Georgia" w:hAnsi="Georgia" w:cs="Arial"/>
                <w:sz w:val="18"/>
                <w:szCs w:val="18"/>
              </w:rPr>
              <w:t>956</w:t>
            </w:r>
            <w:r w:rsidRPr="00CE74C4">
              <w:rPr>
                <w:rFonts w:ascii="Georgia" w:hAnsi="Georgia" w:cs="Arial"/>
                <w:sz w:val="18"/>
                <w:szCs w:val="18"/>
              </w:rPr>
              <w:t>)</w:t>
            </w:r>
          </w:p>
          <w:p w:rsidR="007B0AF1" w:rsidRPr="00CE74C4" w:rsidRDefault="007B0AF1" w:rsidP="007B0AF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15567B" w:rsidRPr="00CE74C4" w:rsidRDefault="0081010E" w:rsidP="007B0AF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>725/6/225</w:t>
            </w:r>
          </w:p>
        </w:tc>
      </w:tr>
      <w:tr w:rsidR="0015567B" w:rsidRPr="0015567B" w:rsidTr="00144D5A">
        <w:tc>
          <w:tcPr>
            <w:tcW w:w="1798" w:type="pct"/>
            <w:shd w:val="clear" w:color="auto" w:fill="F2DBDB" w:themeFill="accent2" w:themeFillTint="33"/>
          </w:tcPr>
          <w:p w:rsidR="0015567B" w:rsidRPr="0015567B" w:rsidRDefault="0015567B" w:rsidP="00D21821">
            <w:pPr>
              <w:jc w:val="left"/>
              <w:rPr>
                <w:rFonts w:ascii="Georgia" w:hAnsi="Georgia" w:cs="Arial"/>
                <w:sz w:val="18"/>
                <w:szCs w:val="18"/>
              </w:rPr>
            </w:pPr>
            <w:r w:rsidRPr="0015567B">
              <w:rPr>
                <w:rFonts w:ascii="Georgia" w:hAnsi="Georgia" w:cs="Arial"/>
                <w:sz w:val="18"/>
                <w:szCs w:val="18"/>
              </w:rPr>
              <w:t xml:space="preserve">P 1.2: </w:t>
            </w:r>
            <w:r w:rsidRPr="0015567B">
              <w:rPr>
                <w:rFonts w:ascii="Georgia" w:hAnsi="Georgia" w:cs="Arial"/>
                <w:color w:val="000000"/>
                <w:sz w:val="18"/>
                <w:szCs w:val="18"/>
              </w:rPr>
              <w:t xml:space="preserve">Suradnja s ostalim nositeljima zaštite potrošača (čl. 98 ZZP) i predstavnicima trgovinskih udruženja </w:t>
            </w:r>
          </w:p>
        </w:tc>
        <w:tc>
          <w:tcPr>
            <w:tcW w:w="1773" w:type="pct"/>
            <w:shd w:val="clear" w:color="auto" w:fill="F2DBDB" w:themeFill="accent2" w:themeFillTint="33"/>
          </w:tcPr>
          <w:p w:rsidR="0015567B" w:rsidRPr="00CE74C4" w:rsidRDefault="00F455B8" w:rsidP="00D2182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 xml:space="preserve">Preporuke, </w:t>
            </w:r>
            <w:r w:rsidR="0015567B" w:rsidRPr="00CE74C4">
              <w:rPr>
                <w:rFonts w:ascii="Georgia" w:hAnsi="Georgia" w:cs="Arial"/>
                <w:sz w:val="18"/>
                <w:szCs w:val="18"/>
              </w:rPr>
              <w:t xml:space="preserve">Posebni izvještaji, </w:t>
            </w:r>
            <w:r w:rsidRPr="00CE74C4">
              <w:rPr>
                <w:rFonts w:ascii="Georgia" w:hAnsi="Georgia" w:cs="Arial"/>
                <w:sz w:val="18"/>
                <w:szCs w:val="18"/>
              </w:rPr>
              <w:t xml:space="preserve">Instrukcije, sudski postupci radi provedbe instrukcija (broj poduzetih radnji u sudskom postupku), </w:t>
            </w:r>
            <w:r w:rsidR="0015567B" w:rsidRPr="00CE74C4">
              <w:rPr>
                <w:rFonts w:ascii="Georgia" w:hAnsi="Georgia" w:cs="Arial"/>
                <w:sz w:val="18"/>
                <w:szCs w:val="18"/>
              </w:rPr>
              <w:t>Godišnji izvještaj o radu</w:t>
            </w:r>
            <w:r w:rsidRPr="00CE74C4">
              <w:rPr>
                <w:rFonts w:ascii="Georgia" w:hAnsi="Georgia" w:cs="Arial"/>
                <w:sz w:val="18"/>
                <w:szCs w:val="18"/>
              </w:rPr>
              <w:t>,</w:t>
            </w: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>Odgovori na upite medija, priopćenja za javnost, gostovanja; tiskanje brošura i letaka, udžbenika, edukacije po školama; suradnja sa</w:t>
            </w:r>
            <w:r w:rsidR="00F455B8" w:rsidRPr="00CE74C4">
              <w:rPr>
                <w:rFonts w:ascii="Georgia" w:hAnsi="Georgia" w:cs="Arial"/>
                <w:sz w:val="18"/>
                <w:szCs w:val="18"/>
              </w:rPr>
              <w:t xml:space="preserve"> ostalim nositeljima zaštit</w:t>
            </w:r>
            <w:r w:rsidR="009A61DC" w:rsidRPr="00CE74C4">
              <w:rPr>
                <w:rFonts w:ascii="Georgia" w:hAnsi="Georgia" w:cs="Arial"/>
                <w:sz w:val="18"/>
                <w:szCs w:val="18"/>
              </w:rPr>
              <w:t xml:space="preserve">e potrošača (učesnicima i partnerima </w:t>
            </w:r>
            <w:r w:rsidR="00F455B8" w:rsidRPr="00CE74C4">
              <w:rPr>
                <w:rFonts w:ascii="Georgia" w:hAnsi="Georgia" w:cs="Arial"/>
                <w:sz w:val="18"/>
                <w:szCs w:val="18"/>
              </w:rPr>
              <w:t xml:space="preserve">v. </w:t>
            </w:r>
            <w:r w:rsidR="009A61DC" w:rsidRPr="00CE74C4">
              <w:rPr>
                <w:rFonts w:ascii="Georgia" w:hAnsi="Georgia" w:cs="Arial"/>
                <w:sz w:val="18"/>
                <w:szCs w:val="18"/>
              </w:rPr>
              <w:t>Pogl. 3)</w:t>
            </w:r>
            <w:r w:rsidRPr="00CE74C4">
              <w:rPr>
                <w:rFonts w:ascii="Georgia" w:hAnsi="Georgia" w:cs="Arial"/>
                <w:sz w:val="18"/>
                <w:szCs w:val="18"/>
              </w:rPr>
              <w:t xml:space="preserve">, </w:t>
            </w: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>Partnerstvo na projektima sa udruženjima potrošača</w:t>
            </w: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2DBDB" w:themeFill="accent2" w:themeFillTint="33"/>
          </w:tcPr>
          <w:p w:rsidR="00FA66D5" w:rsidRPr="00CE74C4" w:rsidRDefault="00BE5575" w:rsidP="00D2182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( Σ 90</w:t>
            </w:r>
            <w:r w:rsidR="00FA66D5" w:rsidRPr="00CE74C4">
              <w:rPr>
                <w:rFonts w:ascii="Georgia" w:hAnsi="Georgia" w:cs="Arial"/>
                <w:sz w:val="18"/>
                <w:szCs w:val="18"/>
              </w:rPr>
              <w:t>)</w:t>
            </w: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81010E" w:rsidRPr="00CE74C4" w:rsidRDefault="00BE5575" w:rsidP="00D2182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8</w:t>
            </w: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81010E" w:rsidRPr="00CE74C4" w:rsidRDefault="0081010E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15567B" w:rsidRPr="00CE74C4" w:rsidRDefault="00BE5575" w:rsidP="00D2182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62</w:t>
            </w:r>
          </w:p>
          <w:p w:rsidR="0015567B" w:rsidRPr="00CE74C4" w:rsidRDefault="00BE5575" w:rsidP="00D2182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4</w:t>
            </w:r>
          </w:p>
          <w:p w:rsidR="00CE74C4" w:rsidRPr="00CE74C4" w:rsidRDefault="00CE74C4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81010E" w:rsidRPr="00CE74C4" w:rsidRDefault="00BE5575" w:rsidP="00D2182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5</w:t>
            </w: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81010E" w:rsidRPr="00CE74C4" w:rsidRDefault="00BE5575" w:rsidP="00D2182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11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FA66D5" w:rsidRPr="00CE74C4" w:rsidRDefault="005378B3" w:rsidP="00D2182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( Σ 94</w:t>
            </w:r>
            <w:r w:rsidR="00FA66D5" w:rsidRPr="00CE74C4">
              <w:rPr>
                <w:rFonts w:ascii="Georgia" w:hAnsi="Georgia" w:cs="Arial"/>
                <w:sz w:val="18"/>
                <w:szCs w:val="18"/>
              </w:rPr>
              <w:t>)</w:t>
            </w:r>
          </w:p>
          <w:p w:rsidR="0081010E" w:rsidRPr="00CE74C4" w:rsidRDefault="0081010E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15567B" w:rsidRPr="00CE74C4" w:rsidRDefault="00BE5575" w:rsidP="00D2182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13</w:t>
            </w: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81010E" w:rsidRPr="00CE74C4" w:rsidRDefault="0081010E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15567B" w:rsidRPr="00CE74C4" w:rsidRDefault="0081010E" w:rsidP="00D2182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>4</w:t>
            </w:r>
            <w:r w:rsidR="00274B30">
              <w:rPr>
                <w:rFonts w:ascii="Georgia" w:hAnsi="Georgia" w:cs="Arial"/>
                <w:sz w:val="18"/>
                <w:szCs w:val="18"/>
              </w:rPr>
              <w:t>4</w:t>
            </w:r>
          </w:p>
          <w:p w:rsidR="0015567B" w:rsidRPr="00CE74C4" w:rsidRDefault="0081010E" w:rsidP="00D2182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>7</w:t>
            </w:r>
          </w:p>
          <w:p w:rsidR="00CE74C4" w:rsidRPr="00CE74C4" w:rsidRDefault="00CE74C4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81010E" w:rsidRPr="00CE74C4" w:rsidRDefault="0081010E" w:rsidP="00D2182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>15</w:t>
            </w: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15567B" w:rsidRPr="00CE74C4" w:rsidRDefault="0015567B" w:rsidP="00D21821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CE74C4" w:rsidRPr="00CE74C4" w:rsidRDefault="00CE74C4" w:rsidP="00D21821">
            <w:pPr>
              <w:rPr>
                <w:rFonts w:ascii="Georgia" w:hAnsi="Georgia" w:cs="Arial"/>
                <w:sz w:val="18"/>
                <w:szCs w:val="18"/>
              </w:rPr>
            </w:pPr>
            <w:r w:rsidRPr="00CE74C4">
              <w:rPr>
                <w:rFonts w:ascii="Georgia" w:hAnsi="Georgia" w:cs="Arial"/>
                <w:sz w:val="18"/>
                <w:szCs w:val="18"/>
              </w:rPr>
              <w:t>15</w:t>
            </w:r>
          </w:p>
        </w:tc>
      </w:tr>
    </w:tbl>
    <w:p w:rsidR="0015567B" w:rsidRDefault="0015567B" w:rsidP="00697775">
      <w:pPr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</w:p>
    <w:p w:rsidR="00DD30BE" w:rsidRDefault="00144D5A" w:rsidP="00491B1C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/>
          <w:sz w:val="23"/>
          <w:szCs w:val="23"/>
        </w:rPr>
      </w:pPr>
      <w:r w:rsidRPr="00144D5A">
        <w:rPr>
          <w:rFonts w:ascii="Georgia" w:hAnsi="Georgia"/>
          <w:sz w:val="23"/>
          <w:szCs w:val="23"/>
        </w:rPr>
        <w:t>Metodologija prikupljanja informacija o pokazateljima temelji se na službenoj evidenciji Institucije ombudsmana tj. godišnjem Izvješću o ra</w:t>
      </w:r>
      <w:r w:rsidR="005D2C62">
        <w:rPr>
          <w:rFonts w:ascii="Georgia" w:hAnsi="Georgia"/>
          <w:sz w:val="23"/>
          <w:szCs w:val="23"/>
        </w:rPr>
        <w:t>du.</w:t>
      </w:r>
    </w:p>
    <w:p w:rsidR="004D0ECD" w:rsidRDefault="004D0ECD" w:rsidP="004D0ECD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Georgia" w:hAnsi="Georgia"/>
          <w:sz w:val="23"/>
          <w:szCs w:val="23"/>
        </w:rPr>
      </w:pPr>
    </w:p>
    <w:p w:rsidR="0077723E" w:rsidRDefault="0077723E" w:rsidP="004D0ECD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Georgia" w:hAnsi="Georgia"/>
          <w:sz w:val="23"/>
          <w:szCs w:val="23"/>
        </w:rPr>
      </w:pPr>
    </w:p>
    <w:p w:rsidR="0077723E" w:rsidRDefault="0077723E" w:rsidP="004D0ECD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Georgia" w:hAnsi="Georgia"/>
          <w:sz w:val="23"/>
          <w:szCs w:val="23"/>
        </w:rPr>
      </w:pPr>
    </w:p>
    <w:p w:rsidR="004D0ECD" w:rsidRDefault="004D0ECD" w:rsidP="004D0ECD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O M B U D S M A N</w:t>
      </w:r>
    </w:p>
    <w:p w:rsidR="004D0ECD" w:rsidRDefault="004D0ECD" w:rsidP="004D0ECD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Dragan Doko</w:t>
      </w:r>
    </w:p>
    <w:p w:rsidR="0077723E" w:rsidRDefault="0077723E" w:rsidP="004D0ECD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/>
          <w:sz w:val="23"/>
          <w:szCs w:val="23"/>
        </w:rPr>
      </w:pPr>
    </w:p>
    <w:p w:rsidR="0077723E" w:rsidRDefault="0077723E" w:rsidP="004D0ECD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/>
          <w:sz w:val="23"/>
          <w:szCs w:val="23"/>
        </w:rPr>
      </w:pPr>
    </w:p>
    <w:p w:rsidR="0077723E" w:rsidRDefault="0077723E" w:rsidP="004D0ECD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/>
          <w:sz w:val="23"/>
          <w:szCs w:val="23"/>
        </w:rPr>
      </w:pPr>
    </w:p>
    <w:p w:rsidR="0077723E" w:rsidRDefault="0077723E" w:rsidP="004D0ECD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/>
          <w:sz w:val="23"/>
          <w:szCs w:val="23"/>
        </w:rPr>
      </w:pPr>
    </w:p>
    <w:p w:rsidR="004D0ECD" w:rsidRPr="00CA1FA1" w:rsidRDefault="00C90EE7" w:rsidP="0077723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/>
          <w:sz w:val="23"/>
          <w:szCs w:val="23"/>
        </w:rPr>
      </w:pPr>
      <w:r w:rsidRPr="00CA1FA1">
        <w:rPr>
          <w:rFonts w:ascii="Georgia" w:hAnsi="Georgia"/>
          <w:sz w:val="23"/>
          <w:szCs w:val="23"/>
        </w:rPr>
        <w:t>Broj:</w:t>
      </w:r>
      <w:r w:rsidR="00CA1FA1" w:rsidRPr="00CA1FA1">
        <w:rPr>
          <w:rFonts w:ascii="Georgia" w:hAnsi="Georgia"/>
          <w:sz w:val="23"/>
          <w:szCs w:val="23"/>
        </w:rPr>
        <w:t>05-02-4-101-5/19</w:t>
      </w:r>
      <w:r w:rsidRPr="00CA1FA1">
        <w:rPr>
          <w:rFonts w:ascii="Georgia" w:hAnsi="Georgia"/>
          <w:sz w:val="23"/>
          <w:szCs w:val="23"/>
        </w:rPr>
        <w:t xml:space="preserve"> </w:t>
      </w:r>
    </w:p>
    <w:p w:rsidR="00EE4E03" w:rsidRPr="00CA1FA1" w:rsidRDefault="00E24EEF" w:rsidP="0077723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Georgia" w:hAnsi="Georgia"/>
          <w:sz w:val="23"/>
          <w:szCs w:val="23"/>
        </w:rPr>
        <w:sectPr w:rsidR="00EE4E03" w:rsidRPr="00CA1FA1" w:rsidSect="00324241"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A1FA1">
        <w:rPr>
          <w:rFonts w:ascii="Georgia" w:hAnsi="Georgia"/>
          <w:sz w:val="23"/>
          <w:szCs w:val="23"/>
        </w:rPr>
        <w:t>Mostar,</w:t>
      </w:r>
      <w:r w:rsidR="00CA1FA1" w:rsidRPr="00CA1FA1">
        <w:rPr>
          <w:rFonts w:ascii="Georgia" w:hAnsi="Georgia"/>
          <w:sz w:val="23"/>
          <w:szCs w:val="23"/>
        </w:rPr>
        <w:t xml:space="preserve"> 10.4.2019. godine</w:t>
      </w:r>
      <w:bookmarkStart w:id="0" w:name="_GoBack"/>
      <w:bookmarkEnd w:id="0"/>
    </w:p>
    <w:p w:rsidR="00C90EE7" w:rsidRDefault="007F3687" w:rsidP="00C90EE7">
      <w:pPr>
        <w:autoSpaceDE w:val="0"/>
        <w:autoSpaceDN w:val="0"/>
        <w:adjustRightInd w:val="0"/>
        <w:spacing w:line="276" w:lineRule="auto"/>
        <w:ind w:firstLine="0"/>
        <w:jc w:val="left"/>
        <w:rPr>
          <w:noProof/>
          <w:lang w:eastAsia="hr-HR"/>
        </w:rPr>
      </w:pPr>
      <w:r w:rsidRPr="007F3687">
        <w:rPr>
          <w:noProof/>
          <w:lang w:val="en-GB" w:eastAsia="en-GB"/>
        </w:rPr>
        <w:lastRenderedPageBreak/>
        <w:drawing>
          <wp:inline distT="0" distB="0" distL="0" distR="0" wp14:anchorId="50A31B73" wp14:editId="1C60F16E">
            <wp:extent cx="8900160" cy="558655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399" cy="55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E7" w:rsidRDefault="000C716D" w:rsidP="000C716D">
      <w:pPr>
        <w:autoSpaceDE w:val="0"/>
        <w:autoSpaceDN w:val="0"/>
        <w:adjustRightInd w:val="0"/>
        <w:spacing w:line="276" w:lineRule="auto"/>
        <w:ind w:firstLine="0"/>
        <w:jc w:val="left"/>
        <w:rPr>
          <w:noProof/>
          <w:lang w:eastAsia="hr-HR"/>
        </w:rPr>
      </w:pPr>
      <w:r w:rsidRPr="000C716D">
        <w:rPr>
          <w:noProof/>
          <w:lang w:val="en-GB" w:eastAsia="en-GB"/>
        </w:rPr>
        <w:lastRenderedPageBreak/>
        <w:drawing>
          <wp:inline distT="0" distB="0" distL="0" distR="0">
            <wp:extent cx="8891270" cy="320284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20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E7" w:rsidRDefault="00C90EE7" w:rsidP="005D2C62">
      <w:pPr>
        <w:autoSpaceDE w:val="0"/>
        <w:autoSpaceDN w:val="0"/>
        <w:adjustRightInd w:val="0"/>
        <w:spacing w:line="276" w:lineRule="auto"/>
        <w:ind w:firstLine="0"/>
        <w:jc w:val="center"/>
        <w:rPr>
          <w:noProof/>
          <w:lang w:eastAsia="hr-HR"/>
        </w:rPr>
      </w:pPr>
    </w:p>
    <w:p w:rsidR="005D2C62" w:rsidRDefault="005D2C62" w:rsidP="00697775">
      <w:pPr>
        <w:autoSpaceDE w:val="0"/>
        <w:autoSpaceDN w:val="0"/>
        <w:adjustRightInd w:val="0"/>
        <w:spacing w:line="276" w:lineRule="auto"/>
        <w:ind w:firstLine="0"/>
        <w:rPr>
          <w:noProof/>
          <w:lang w:eastAsia="hr-HR"/>
        </w:rPr>
      </w:pPr>
    </w:p>
    <w:p w:rsidR="00A67693" w:rsidRDefault="00DA0CF6" w:rsidP="00DA0CF6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ab/>
      </w:r>
    </w:p>
    <w:p w:rsidR="005D2C62" w:rsidRPr="005D2C62" w:rsidRDefault="005D2C62" w:rsidP="005D2C62">
      <w:pPr>
        <w:ind w:firstLine="0"/>
        <w:rPr>
          <w:rFonts w:ascii="Arial" w:eastAsia="Times New Roman" w:hAnsi="Arial" w:cs="Arial"/>
          <w:color w:val="FF0000"/>
          <w:sz w:val="32"/>
          <w:szCs w:val="32"/>
          <w:lang w:eastAsia="hr-HR"/>
        </w:rPr>
      </w:pPr>
    </w:p>
    <w:sectPr w:rsidR="005D2C62" w:rsidRPr="005D2C62" w:rsidSect="00DD30BE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20" w:rsidRDefault="006C2520" w:rsidP="0018561B">
      <w:r>
        <w:separator/>
      </w:r>
    </w:p>
  </w:endnote>
  <w:endnote w:type="continuationSeparator" w:id="0">
    <w:p w:rsidR="006C2520" w:rsidRDefault="006C2520" w:rsidP="0018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20" w:rsidRDefault="006C2520" w:rsidP="0018561B">
      <w:r>
        <w:separator/>
      </w:r>
    </w:p>
  </w:footnote>
  <w:footnote w:type="continuationSeparator" w:id="0">
    <w:p w:rsidR="006C2520" w:rsidRDefault="006C2520" w:rsidP="0018561B">
      <w:r>
        <w:continuationSeparator/>
      </w:r>
    </w:p>
  </w:footnote>
  <w:footnote w:id="1">
    <w:p w:rsidR="00C90EE7" w:rsidRPr="00697775" w:rsidRDefault="00C90EE7" w:rsidP="00697775">
      <w:pPr>
        <w:autoSpaceDE w:val="0"/>
        <w:autoSpaceDN w:val="0"/>
        <w:adjustRightInd w:val="0"/>
        <w:ind w:firstLine="0"/>
        <w:rPr>
          <w:rFonts w:ascii="Georgia" w:hAnsi="Georgia" w:cs="Calibri"/>
          <w:sz w:val="18"/>
          <w:szCs w:val="18"/>
        </w:rPr>
      </w:pPr>
      <w:r w:rsidRPr="00697775">
        <w:rPr>
          <w:rStyle w:val="Referencafusnote"/>
          <w:rFonts w:ascii="Georgia" w:hAnsi="Georgia"/>
          <w:sz w:val="18"/>
          <w:szCs w:val="18"/>
        </w:rPr>
        <w:footnoteRef/>
      </w:r>
      <w:r w:rsidRPr="00697775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Upravljanje u funkciji rasta </w:t>
      </w:r>
      <w:r w:rsidRPr="00697775">
        <w:rPr>
          <w:rFonts w:ascii="Georgia" w:hAnsi="Georgia" w:cs="Calibri"/>
          <w:sz w:val="18"/>
          <w:szCs w:val="18"/>
        </w:rPr>
        <w:t>podrazumjeva povećanje kapaciteta administracije za primjenu principa dobrog upravljanja na svim nivoima vlasti, jačanje vladavine prava i suzbijanje korupcije u ciju stvaranja poslovnog ambijenta i pružanja javnih usluga neophodnih za ekonomski i društveni razvoj.</w:t>
      </w:r>
    </w:p>
    <w:p w:rsidR="00C90EE7" w:rsidRDefault="00C90EE7" w:rsidP="0018561B">
      <w:pPr>
        <w:pStyle w:val="Tekstfusnote"/>
      </w:pPr>
    </w:p>
  </w:footnote>
  <w:footnote w:id="2">
    <w:p w:rsidR="00C90EE7" w:rsidRPr="00D73A1D" w:rsidRDefault="00C90EE7" w:rsidP="00450231">
      <w:pPr>
        <w:pStyle w:val="Tekstfusnote"/>
        <w:ind w:firstLine="0"/>
        <w:rPr>
          <w:rFonts w:asciiTheme="majorHAnsi" w:hAnsiTheme="majorHAnsi" w:cs="Tahoma"/>
          <w:sz w:val="18"/>
          <w:szCs w:val="18"/>
          <w:lang w:val="hr-BA"/>
        </w:rPr>
      </w:pPr>
      <w:r w:rsidRPr="00D73A1D">
        <w:rPr>
          <w:rStyle w:val="Referencafusnote"/>
          <w:rFonts w:asciiTheme="majorHAnsi" w:hAnsiTheme="majorHAnsi" w:cs="Tahoma"/>
          <w:sz w:val="18"/>
          <w:szCs w:val="18"/>
        </w:rPr>
        <w:footnoteRef/>
      </w:r>
      <w:r w:rsidRPr="00D73A1D">
        <w:rPr>
          <w:rFonts w:asciiTheme="majorHAnsi" w:hAnsiTheme="majorHAnsi" w:cs="Tahoma"/>
          <w:sz w:val="18"/>
          <w:szCs w:val="18"/>
        </w:rPr>
        <w:t xml:space="preserve"> ''</w:t>
      </w:r>
      <w:r w:rsidRPr="00D73A1D">
        <w:rPr>
          <w:rFonts w:asciiTheme="majorHAnsi" w:hAnsiTheme="majorHAnsi" w:cs="Tahoma"/>
          <w:sz w:val="18"/>
          <w:szCs w:val="18"/>
          <w:lang w:val="hr-BA"/>
        </w:rPr>
        <w:t xml:space="preserve">Službeni glasnik </w:t>
      </w:r>
      <w:r w:rsidRPr="00C0669A">
        <w:rPr>
          <w:rFonts w:ascii="Georgia" w:hAnsi="Georgia" w:cs="Tahoma"/>
          <w:sz w:val="18"/>
          <w:szCs w:val="18"/>
          <w:lang w:val="hr-BA"/>
        </w:rPr>
        <w:t>BiH'' broj 25/06</w:t>
      </w:r>
      <w:r w:rsidR="00E8347E">
        <w:rPr>
          <w:rFonts w:ascii="Georgia" w:hAnsi="Georgia" w:cs="Tahoma"/>
          <w:sz w:val="18"/>
          <w:szCs w:val="18"/>
          <w:lang w:val="hr-BA"/>
        </w:rPr>
        <w:t xml:space="preserve"> </w:t>
      </w:r>
      <w:r w:rsidR="0036466D">
        <w:rPr>
          <w:rFonts w:ascii="Georgia" w:hAnsi="Georgia" w:cs="Tahoma"/>
          <w:sz w:val="18"/>
          <w:szCs w:val="18"/>
          <w:lang w:val="hr-BA"/>
        </w:rPr>
        <w:t>i 88/15</w:t>
      </w:r>
      <w:r w:rsidRPr="00C0669A">
        <w:rPr>
          <w:rFonts w:ascii="Georgia" w:hAnsi="Georgia" w:cs="Tahoma"/>
          <w:sz w:val="18"/>
          <w:szCs w:val="18"/>
          <w:lang w:val="hr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E7" w:rsidRDefault="00C90EE7" w:rsidP="00E77F09">
    <w:pPr>
      <w:pStyle w:val="Zaglavlje"/>
      <w:jc w:val="center"/>
      <w:rPr>
        <w:rFonts w:asciiTheme="majorHAnsi" w:hAnsiTheme="majorHAnsi"/>
      </w:rPr>
    </w:pPr>
    <w:r w:rsidRPr="00E77F09">
      <w:rPr>
        <w:rFonts w:asciiTheme="majorHAnsi" w:hAnsiTheme="majorHAnsi"/>
      </w:rPr>
      <w:t xml:space="preserve">SREDNJOROČNI PLAN RADA INSTITUCIJE OMBUDSMANA ZA ZAŠTITU POTROŠAČA U BIH </w:t>
    </w:r>
  </w:p>
  <w:p w:rsidR="00C90EE7" w:rsidRDefault="00EE4E03" w:rsidP="00E77F09">
    <w:pPr>
      <w:pStyle w:val="Zaglavlje"/>
      <w:jc w:val="center"/>
      <w:rPr>
        <w:rFonts w:asciiTheme="majorHAnsi" w:hAnsiTheme="majorHAnsi"/>
      </w:rPr>
    </w:pPr>
    <w:r>
      <w:rPr>
        <w:rFonts w:asciiTheme="majorHAnsi" w:hAnsiTheme="majorHAnsi"/>
      </w:rPr>
      <w:t>2019-2021</w:t>
    </w:r>
  </w:p>
  <w:p w:rsidR="0036466D" w:rsidRPr="00E77F09" w:rsidRDefault="0036466D" w:rsidP="00E77F09">
    <w:pPr>
      <w:pStyle w:val="Zaglavlje"/>
      <w:jc w:val="center"/>
      <w:rPr>
        <w:rFonts w:asciiTheme="majorHAnsi" w:hAnsiTheme="majorHAnsi"/>
      </w:rPr>
    </w:pPr>
  </w:p>
  <w:p w:rsidR="00C90EE7" w:rsidRDefault="00C90E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E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21C12"/>
    <w:multiLevelType w:val="hybridMultilevel"/>
    <w:tmpl w:val="4CF23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61B"/>
    <w:rsid w:val="00007E51"/>
    <w:rsid w:val="000723AA"/>
    <w:rsid w:val="00085EDD"/>
    <w:rsid w:val="000C716D"/>
    <w:rsid w:val="000D54AC"/>
    <w:rsid w:val="000E0562"/>
    <w:rsid w:val="000E3449"/>
    <w:rsid w:val="000F1BE2"/>
    <w:rsid w:val="000F2473"/>
    <w:rsid w:val="000F2DF7"/>
    <w:rsid w:val="00135304"/>
    <w:rsid w:val="00136E57"/>
    <w:rsid w:val="00144D5A"/>
    <w:rsid w:val="00152F3C"/>
    <w:rsid w:val="0015567B"/>
    <w:rsid w:val="001652FF"/>
    <w:rsid w:val="001670B1"/>
    <w:rsid w:val="0018561B"/>
    <w:rsid w:val="001C238B"/>
    <w:rsid w:val="001D7B72"/>
    <w:rsid w:val="001E09E0"/>
    <w:rsid w:val="001E68AA"/>
    <w:rsid w:val="00242523"/>
    <w:rsid w:val="002475BF"/>
    <w:rsid w:val="00257542"/>
    <w:rsid w:val="0027479F"/>
    <w:rsid w:val="00274B30"/>
    <w:rsid w:val="002D15A5"/>
    <w:rsid w:val="002D52FD"/>
    <w:rsid w:val="002F1FFB"/>
    <w:rsid w:val="002F7D37"/>
    <w:rsid w:val="00302E58"/>
    <w:rsid w:val="00311D05"/>
    <w:rsid w:val="00324241"/>
    <w:rsid w:val="00325141"/>
    <w:rsid w:val="0033352C"/>
    <w:rsid w:val="0036466D"/>
    <w:rsid w:val="00393C26"/>
    <w:rsid w:val="003A1627"/>
    <w:rsid w:val="003B2E33"/>
    <w:rsid w:val="003C3EB5"/>
    <w:rsid w:val="003E2794"/>
    <w:rsid w:val="003F289D"/>
    <w:rsid w:val="00401D6C"/>
    <w:rsid w:val="00414D3A"/>
    <w:rsid w:val="00423293"/>
    <w:rsid w:val="004359B2"/>
    <w:rsid w:val="004405AD"/>
    <w:rsid w:val="00446799"/>
    <w:rsid w:val="00450231"/>
    <w:rsid w:val="00470B21"/>
    <w:rsid w:val="00475D7B"/>
    <w:rsid w:val="00491B1C"/>
    <w:rsid w:val="00497042"/>
    <w:rsid w:val="004C577C"/>
    <w:rsid w:val="004D0ECD"/>
    <w:rsid w:val="004D5697"/>
    <w:rsid w:val="0051136D"/>
    <w:rsid w:val="00517BA8"/>
    <w:rsid w:val="005378B3"/>
    <w:rsid w:val="005575B4"/>
    <w:rsid w:val="00561181"/>
    <w:rsid w:val="00596C37"/>
    <w:rsid w:val="005C37AC"/>
    <w:rsid w:val="005D1E28"/>
    <w:rsid w:val="005D2C62"/>
    <w:rsid w:val="005E6CBD"/>
    <w:rsid w:val="006002E0"/>
    <w:rsid w:val="00657C36"/>
    <w:rsid w:val="006760E6"/>
    <w:rsid w:val="00697775"/>
    <w:rsid w:val="006B1ED7"/>
    <w:rsid w:val="006C2520"/>
    <w:rsid w:val="006C7DDB"/>
    <w:rsid w:val="006D3A73"/>
    <w:rsid w:val="006F292D"/>
    <w:rsid w:val="00771B9F"/>
    <w:rsid w:val="0077723E"/>
    <w:rsid w:val="007826CF"/>
    <w:rsid w:val="00795575"/>
    <w:rsid w:val="007957E5"/>
    <w:rsid w:val="007B0AF1"/>
    <w:rsid w:val="007C119B"/>
    <w:rsid w:val="007C57B1"/>
    <w:rsid w:val="007D20E9"/>
    <w:rsid w:val="007E3D09"/>
    <w:rsid w:val="007F3687"/>
    <w:rsid w:val="0081010E"/>
    <w:rsid w:val="00816CA4"/>
    <w:rsid w:val="008315A9"/>
    <w:rsid w:val="008A7CBA"/>
    <w:rsid w:val="008D5F57"/>
    <w:rsid w:val="008E5B4D"/>
    <w:rsid w:val="009223F3"/>
    <w:rsid w:val="00922A46"/>
    <w:rsid w:val="00922FF0"/>
    <w:rsid w:val="00930608"/>
    <w:rsid w:val="0096525A"/>
    <w:rsid w:val="00984C75"/>
    <w:rsid w:val="009A61DC"/>
    <w:rsid w:val="00A10626"/>
    <w:rsid w:val="00A2623C"/>
    <w:rsid w:val="00A54577"/>
    <w:rsid w:val="00A67693"/>
    <w:rsid w:val="00AA3203"/>
    <w:rsid w:val="00AC0B03"/>
    <w:rsid w:val="00AC39B7"/>
    <w:rsid w:val="00B45127"/>
    <w:rsid w:val="00B5001B"/>
    <w:rsid w:val="00B90700"/>
    <w:rsid w:val="00BA7407"/>
    <w:rsid w:val="00BD122C"/>
    <w:rsid w:val="00BD1FFD"/>
    <w:rsid w:val="00BD2751"/>
    <w:rsid w:val="00BE5575"/>
    <w:rsid w:val="00BF1B8F"/>
    <w:rsid w:val="00BF5329"/>
    <w:rsid w:val="00C0669A"/>
    <w:rsid w:val="00C22C3E"/>
    <w:rsid w:val="00C707D5"/>
    <w:rsid w:val="00C90EE7"/>
    <w:rsid w:val="00CA1FA1"/>
    <w:rsid w:val="00CB1100"/>
    <w:rsid w:val="00CC25B9"/>
    <w:rsid w:val="00CC3C6B"/>
    <w:rsid w:val="00CD3E33"/>
    <w:rsid w:val="00CD40E9"/>
    <w:rsid w:val="00CE74C4"/>
    <w:rsid w:val="00CF5597"/>
    <w:rsid w:val="00D21821"/>
    <w:rsid w:val="00D309F8"/>
    <w:rsid w:val="00D31B94"/>
    <w:rsid w:val="00D61A33"/>
    <w:rsid w:val="00D75DF5"/>
    <w:rsid w:val="00DA0CF6"/>
    <w:rsid w:val="00DD30BE"/>
    <w:rsid w:val="00E24EEF"/>
    <w:rsid w:val="00E300E8"/>
    <w:rsid w:val="00E4282A"/>
    <w:rsid w:val="00E54D00"/>
    <w:rsid w:val="00E77F09"/>
    <w:rsid w:val="00E8347E"/>
    <w:rsid w:val="00E96FE6"/>
    <w:rsid w:val="00EB08BB"/>
    <w:rsid w:val="00ED6F80"/>
    <w:rsid w:val="00EE4E03"/>
    <w:rsid w:val="00F455B8"/>
    <w:rsid w:val="00F60269"/>
    <w:rsid w:val="00F62BA8"/>
    <w:rsid w:val="00FA2B47"/>
    <w:rsid w:val="00FA6510"/>
    <w:rsid w:val="00FA66D5"/>
    <w:rsid w:val="00FA6849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21B"/>
  <w15:docId w15:val="{CEF4B090-76A9-410C-AA2A-1E88D64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18561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8561B"/>
    <w:rPr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18561B"/>
    <w:rPr>
      <w:vertAlign w:val="superscript"/>
    </w:rPr>
  </w:style>
  <w:style w:type="paragraph" w:styleId="Odlomakpopisa">
    <w:name w:val="List Paragraph"/>
    <w:basedOn w:val="Normal"/>
    <w:uiPriority w:val="99"/>
    <w:qFormat/>
    <w:rsid w:val="00085EDD"/>
    <w:pPr>
      <w:ind w:left="720"/>
      <w:contextualSpacing/>
    </w:pPr>
  </w:style>
  <w:style w:type="table" w:styleId="Reetkatablice">
    <w:name w:val="Table Grid"/>
    <w:basedOn w:val="Obinatablica"/>
    <w:rsid w:val="0015567B"/>
    <w:pPr>
      <w:ind w:firstLine="0"/>
    </w:pPr>
    <w:rPr>
      <w:rFonts w:ascii="Cambria" w:eastAsia="Times New Roman" w:hAnsi="Cambria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24241"/>
    <w:pPr>
      <w:ind w:firstLine="0"/>
      <w:jc w:val="left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24241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2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5B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5B4D"/>
  </w:style>
  <w:style w:type="paragraph" w:styleId="Podnoje">
    <w:name w:val="footer"/>
    <w:basedOn w:val="Normal"/>
    <w:link w:val="PodnojeChar"/>
    <w:uiPriority w:val="99"/>
    <w:unhideWhenUsed/>
    <w:rsid w:val="008E5B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B6D847-2E03-41C6-A820-9A37AD54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SREDNJOROČNI PLAN RADA</vt:lpstr>
      <vt:lpstr>SREDNJOROČNI PLAN RADA</vt:lpstr>
    </vt:vector>
  </TitlesOfParts>
  <Company>Institucija ombudsmana za zaštitu potrošača u BiH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SREDNJOROČNI PLAN RADA</dc:title>
  <dc:subject>2019-2021</dc:subject>
  <dc:creator/>
  <cp:lastModifiedBy>Windows korisnik</cp:lastModifiedBy>
  <cp:revision>45</cp:revision>
  <cp:lastPrinted>2019-01-07T12:57:00Z</cp:lastPrinted>
  <dcterms:created xsi:type="dcterms:W3CDTF">2015-07-29T12:19:00Z</dcterms:created>
  <dcterms:modified xsi:type="dcterms:W3CDTF">2019-05-14T11:05:00Z</dcterms:modified>
</cp:coreProperties>
</file>